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jc w:val="center"/>
        <w:rPr>
          <w:rFonts w:eastAsia="Times New Roman" w:cs="Times New Roman"/>
          <w:b/>
          <w:bCs/>
          <w:color w:val="424242"/>
          <w:szCs w:val="24"/>
          <w:lang w:eastAsia="ru-RU"/>
        </w:rPr>
      </w:pPr>
      <w:r w:rsidRPr="00765168">
        <w:rPr>
          <w:rFonts w:cs="Times New Roman"/>
          <w:b/>
          <w:sz w:val="28"/>
        </w:rPr>
        <w:t>Тема 2 «Деление подвижного состава на технологические группы»</w:t>
      </w:r>
    </w:p>
    <w:p w:rsid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b/>
          <w:bCs/>
          <w:color w:val="424242"/>
          <w:szCs w:val="24"/>
          <w:lang w:eastAsia="ru-RU"/>
        </w:rPr>
      </w:pP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Нормативы трудоемкости технического обслуживания и ремонта подвижного состава автомобильного транспорта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Исходные нормативы рассчитаны на полное или частичное сочетание следующих условий: первая категория условий эксплуатации; базовые модели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автомобилей; на автотранспортном предприятии выполняется ТО и ремонт 200...300 ед. подвижного состава, составляющих три технологически совместимые группы; пробег с начала эксплуатации составляет 50...75 % от пробега до КР; подвижной состав работает в умеренном климатическом районе; оснащение АТП средствами механизации — согласно Табелю технологического оборудования.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Таблица 3.4</w:t>
      </w:r>
    </w:p>
    <w:tbl>
      <w:tblPr>
        <w:tblStyle w:val="a5"/>
        <w:tblW w:w="0" w:type="auto"/>
        <w:tblLook w:val="04A0"/>
      </w:tblPr>
      <w:tblGrid>
        <w:gridCol w:w="5207"/>
        <w:gridCol w:w="5214"/>
      </w:tblGrid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Подвижной состав (выпуска после 1972 г.)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Простой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ТО и ТР на автотранспортном предприятии, дней/1000 км.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КР на специализированном ремонтном предприятии, дней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0,30…0,40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Автобусы особо малого, малого и среднего классов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0,30…0,50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Автобусы большого класса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0,50…0,55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Грузовые автомобили грузоподъемностью, т: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0,3…5,0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0,40…0,50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5,0 и более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0,50…0,55</w:t>
            </w:r>
          </w:p>
        </w:tc>
      </w:tr>
      <w:tr w:rsidR="00765168" w:rsidRPr="00765168" w:rsidTr="00765168"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Прицепы и полуприцепы</w:t>
            </w:r>
          </w:p>
        </w:tc>
        <w:tc>
          <w:tcPr>
            <w:tcW w:w="0" w:type="auto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0,10…0,15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В приведенных нормативах трудоемкость ЕО включает трудоемкость ручных уборочных и моечных работ. При применении механизированных моечных установок трудоемкость ЕО, установленная Положением, должна быть уменьшена за счет исключения из общей трудоемкости ЕО моечных работ, связанных с применением ручного труда.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lastRenderedPageBreak/>
        <w:t>Нормативы ТО-1 и ТО-2 не включают трудоемкость ЕО. Трудоемкость дополнительных работ СО к трудоемкости ТО-2 составляет 50 % — для очень холодного и очень жаркого сухого климатических районов, 30 % — для холодного и жаркого сухого районов, 20 % — для прочих районов.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Нормативы не учитывают трудовых затрат на вспомогательные работы, которые устанавливают в пределах не более 30 % к суммарной трудоемкости ТО и ТР по автотранспортному предприятию.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В состав вспомогательных работ входят: обслуживание и ремонт оборудования и инструментов; транспортные и </w:t>
      </w:r>
      <w:proofErr w:type="spellStart"/>
      <w:r w:rsidRPr="00765168">
        <w:rPr>
          <w:rFonts w:eastAsia="Times New Roman" w:cs="Times New Roman"/>
          <w:color w:val="424242"/>
          <w:szCs w:val="24"/>
          <w:lang w:eastAsia="ru-RU"/>
        </w:rPr>
        <w:t>погрузочно</w:t>
      </w:r>
      <w:proofErr w:type="spellEnd"/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 – разгрузочные работы, связанные с обслуживанием и ремонтом подвижного состава; перегон автомобилей внутри предприятий; хранение, приемка и выдача материальных ценностей; уборка производственных помещений, связанных с ТО и ремонтом подвижного состава.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Таблица 3.5</w:t>
      </w:r>
    </w:p>
    <w:tbl>
      <w:tblPr>
        <w:tblW w:w="0" w:type="auto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4"/>
        <w:gridCol w:w="3095"/>
        <w:gridCol w:w="2373"/>
        <w:gridCol w:w="1336"/>
      </w:tblGrid>
      <w:tr w:rsidR="00765168" w:rsidRPr="00765168" w:rsidTr="00765168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Категория условий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Условия движения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 xml:space="preserve">за пределами </w:t>
            </w:r>
            <w:proofErr w:type="spellStart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пригородской</w:t>
            </w:r>
            <w:proofErr w:type="spellEnd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 xml:space="preserve"> зоны (более 50 км. от границы города)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в малых городах (до 100 тыс. жителей) и в пригородной зоне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В больших городах (более 100 тыс. жителей)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-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1 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-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-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D3 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D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6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–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1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4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 P</w:t>
            </w:r>
            <w:r w:rsidRPr="00765168">
              <w:rPr>
                <w:rFonts w:eastAsia="Times New Roman" w:cs="Times New Roman"/>
                <w:color w:val="424242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ind w:firstLine="0"/>
        <w:jc w:val="center"/>
        <w:rPr>
          <w:rFonts w:eastAsia="Times New Roman" w:cs="Times New Roman"/>
          <w:color w:val="424242"/>
          <w:szCs w:val="24"/>
          <w:lang w:eastAsia="ru-RU"/>
        </w:rPr>
      </w:pPr>
    </w:p>
    <w:p w:rsidR="00765168" w:rsidRPr="00765168" w:rsidRDefault="00765168" w:rsidP="00765168">
      <w:pPr>
        <w:shd w:val="clear" w:color="auto" w:fill="FFFFFF"/>
        <w:ind w:firstLine="0"/>
        <w:jc w:val="center"/>
        <w:rPr>
          <w:rFonts w:eastAsia="Times New Roman" w:cs="Times New Roman"/>
          <w:color w:val="424242"/>
          <w:szCs w:val="24"/>
          <w:lang w:eastAsia="ru-RU"/>
        </w:rPr>
      </w:pP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Исходные нормативы уточняют во второй части Положения по семейству автомобилей и корректируют с учетом условий эксплуатации 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Корректирование нормативов.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Автотранспортным предприятиям и территориальным объединениям автотранспорта предоставлено право на корректирование нормативов ТО и ремонта путем изменения количественного значения этих нормативов при работе подвижного состава в условиях, отличающихся от тех, которые приняты для исходных нормативов, с учетом конкретных условий эксплуатации: ресурсные (на общесоюзном, отраслевом и внутриотраслевом уровнях) — для создания автотранспортным предприятиям сопоставимых условий работы; оперативные (на внутриотраслевом и хозяйственном уровнях) — для обеспечения эффективного использования на АТП трудовых и материальных ресурсов.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Корректирование производят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изменением количественного значения нормативов ТО, перечня операций ТО; соотношения между объемами работ ТО и ремонта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за счет включения в ТО характерных, часто повторяющихся операций ТР.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Корректирование нормативов ТО и ремонта подвижного состава в зависимости от условий эксплуатации осуществляется в соответствии с их классификацией (табл. 3.5), которая включает пять категорий условий эксплуатации. Категория условий эксплуатации автомобилей характеризуется типом дорожного покрытия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D,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типом рельефа местности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Р,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по которой пролегает дорога, и условиями движения.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Определено шесть типов (материалов) дорожного покрытия: D</w:t>
      </w:r>
      <w:r w:rsidRPr="00765168">
        <w:rPr>
          <w:rFonts w:eastAsia="Times New Roman" w:cs="Times New Roman"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 — </w:t>
      </w:r>
      <w:proofErr w:type="spellStart"/>
      <w:r w:rsidRPr="00765168">
        <w:rPr>
          <w:rFonts w:eastAsia="Times New Roman" w:cs="Times New Roman"/>
          <w:color w:val="424242"/>
          <w:szCs w:val="24"/>
          <w:lang w:eastAsia="ru-RU"/>
        </w:rPr>
        <w:t>цементобетон</w:t>
      </w:r>
      <w:proofErr w:type="spellEnd"/>
      <w:r w:rsidRPr="00765168">
        <w:rPr>
          <w:rFonts w:eastAsia="Times New Roman" w:cs="Times New Roman"/>
          <w:color w:val="424242"/>
          <w:szCs w:val="24"/>
          <w:lang w:eastAsia="ru-RU"/>
        </w:rPr>
        <w:t>, асфальтобетон, брусчатка, мозаика; D</w:t>
      </w:r>
      <w:r w:rsidRPr="00765168">
        <w:rPr>
          <w:rFonts w:eastAsia="Times New Roman" w:cs="Times New Roman"/>
          <w:color w:val="424242"/>
          <w:szCs w:val="24"/>
          <w:vertAlign w:val="subscript"/>
          <w:lang w:eastAsia="ru-RU"/>
        </w:rPr>
        <w:t>2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— битумоминеральные смеси (щебень или гравий, обработанные битумом); D</w:t>
      </w:r>
      <w:r w:rsidRPr="00765168">
        <w:rPr>
          <w:rFonts w:eastAsia="Times New Roman" w:cs="Times New Roman"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— щебень (гравий) без обработки, дегтебетон; D</w:t>
      </w:r>
      <w:r w:rsidRPr="00765168">
        <w:rPr>
          <w:rFonts w:eastAsia="Times New Roman" w:cs="Times New Roman"/>
          <w:color w:val="424242"/>
          <w:szCs w:val="24"/>
          <w:vertAlign w:val="subscript"/>
          <w:lang w:eastAsia="ru-RU"/>
        </w:rPr>
        <w:t>4</w:t>
      </w:r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 — булыжник, колотый камень, грунт и </w:t>
      </w:r>
      <w:proofErr w:type="spellStart"/>
      <w:r w:rsidRPr="00765168">
        <w:rPr>
          <w:rFonts w:eastAsia="Times New Roman" w:cs="Times New Roman"/>
          <w:color w:val="424242"/>
          <w:szCs w:val="24"/>
          <w:lang w:eastAsia="ru-RU"/>
        </w:rPr>
        <w:t>малопрочный</w:t>
      </w:r>
      <w:proofErr w:type="spellEnd"/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 камень, обработанные вяжущими </w:t>
      </w:r>
      <w:r w:rsidRPr="00765168">
        <w:rPr>
          <w:rFonts w:eastAsia="Times New Roman" w:cs="Times New Roman"/>
          <w:color w:val="424242"/>
          <w:szCs w:val="24"/>
          <w:lang w:eastAsia="ru-RU"/>
        </w:rPr>
        <w:lastRenderedPageBreak/>
        <w:t>материалами, зимники; D</w:t>
      </w:r>
      <w:r w:rsidRPr="00765168">
        <w:rPr>
          <w:rFonts w:eastAsia="Times New Roman" w:cs="Times New Roman"/>
          <w:color w:val="424242"/>
          <w:szCs w:val="24"/>
          <w:vertAlign w:val="subscript"/>
          <w:lang w:eastAsia="ru-RU"/>
        </w:rPr>
        <w:t>5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— грунт, укрепленный или улучшенный местными материалами, лежневые и бревенчатые покрытия; D</w:t>
      </w:r>
      <w:r w:rsidRPr="00765168">
        <w:rPr>
          <w:rFonts w:eastAsia="Times New Roman" w:cs="Times New Roman"/>
          <w:color w:val="424242"/>
          <w:szCs w:val="24"/>
          <w:vertAlign w:val="subscript"/>
          <w:lang w:eastAsia="ru-RU"/>
        </w:rPr>
        <w:t>6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— естественные грунтовые дороги, временные внутрикарьерные и отвальные дороги, подъездные пути, не имеющие твердого покрытия.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Исходные нормативы, регламентирующие ТО и ремонт подвижного состава, с целью обеспечения высокой эксплуатационной надежности автомобилей, повышения производительности труда ремонтно-обслуживающих рабочих и сокращения затрат на ТО и ремонт подвижного состава уточняют применительно к конкретным автомобилям и корректируют с помощью коэффициентов в зависимости от следующих факторов: условий эксплуатации автомобилей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,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модификации подвижного состава и организации его работы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2</w:t>
      </w:r>
      <w:r w:rsidRPr="00765168">
        <w:rPr>
          <w:rFonts w:eastAsia="Times New Roman" w:cs="Times New Roman"/>
          <w:color w:val="424242"/>
          <w:szCs w:val="24"/>
          <w:lang w:eastAsia="ru-RU"/>
        </w:rPr>
        <w:t>; природно-климатических условий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color w:val="424242"/>
          <w:szCs w:val="24"/>
          <w:lang w:eastAsia="ru-RU"/>
        </w:rPr>
        <w:t>; пробега с начала эксплуатации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4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и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К΄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4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размеров автотранспортного предприятия и количества технологически совместимых групп подвижного состава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6.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Исходный коэффициент корректирования, равный 1,0, принимается: для I категории условий эксплуатации; базовых моделей автомобилей; умеренного климатического района с умеренной агрессивностью окружающей среды; пробега подвижного состава с начала эксплуатации, равного 50...75 % от пробега до КР; АТП, на которых производится ТО и ремонт 200...300 ед. подвижного состава, составляющих три технологически совместимые группы (табл. 3.6).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Технологически совместимая группа включает автомобили, конструкция которых позволяет использовать одни и те же посты и оборудование для ТО и ремонта. Организация работ и выбор оборудования для ТО и ремонта автомобилей внутри каждой технологически совместимой группы осуществляется с учетом производственной программы. Специальные или специализированные автомобили (за исключением самосвалов и фургонов) объединяют в дополнительные технологически совместимые группы с учетом базовой модели автомобиля и сложности установленного на нем специального оборудования.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Результирующий коэффициент корректирования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нормативов получается перемножением отдельных коэффициентов: периодичность ТО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;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пробег до КР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К;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2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,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трудоемкость ТО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2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5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;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трудоемкость ТР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2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4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5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;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расход запасных частей —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K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2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K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Таблица 3.6</w:t>
      </w:r>
    </w:p>
    <w:tbl>
      <w:tblPr>
        <w:tblW w:w="0" w:type="auto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694"/>
        <w:gridCol w:w="1130"/>
        <w:gridCol w:w="1031"/>
        <w:gridCol w:w="1281"/>
        <w:gridCol w:w="1294"/>
      </w:tblGrid>
      <w:tr w:rsidR="00765168" w:rsidRPr="00765168" w:rsidTr="00765168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Типы подвижного состава на автотранспортном предприятии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Технологически совместимые группы по типам и базовым маркам подвижного состава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V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Автомобили: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легковые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АЗЛК, ИЖ, ВАЗ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—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грузовые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ИЖ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 xml:space="preserve">УАЗ, </w:t>
            </w:r>
            <w:proofErr w:type="spellStart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ЕрАЗ</w:t>
            </w:r>
            <w:proofErr w:type="spellEnd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ЗИЛ, КАЗ, Урал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МАЗ, КрАЗ, КамАЗ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РАФ,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ЛАЗ (</w:t>
            </w:r>
            <w:proofErr w:type="spellStart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карб</w:t>
            </w:r>
            <w:proofErr w:type="spellEnd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.),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ЛАЗ (</w:t>
            </w:r>
            <w:proofErr w:type="spellStart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диз</w:t>
            </w:r>
            <w:proofErr w:type="spellEnd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.)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УАЗ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proofErr w:type="spellStart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КАвЗ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proofErr w:type="spellStart"/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ЛиАЗ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Примечания: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1. Технологически совместимая группа включает подвижной состав, конструкция которого позволяет использование одних и тех же постов и оборудования для ТО и ТР.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2. Организация работ и выбор оборудования для ТО и ремонта подвижного состава внутри каждой технологически совместимой группы осуществляются с учетом производственной программы.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3. Специальный и специализированный подвижной состав (за исключением автомобилей-самосвалов и </w:t>
      </w:r>
      <w:proofErr w:type="spellStart"/>
      <w:r w:rsidRPr="00765168">
        <w:rPr>
          <w:rFonts w:eastAsia="Times New Roman" w:cs="Times New Roman"/>
          <w:color w:val="424242"/>
          <w:szCs w:val="24"/>
          <w:lang w:eastAsia="ru-RU"/>
        </w:rPr>
        <w:t>автомобилей-фургоков</w:t>
      </w:r>
      <w:proofErr w:type="spellEnd"/>
      <w:r w:rsidRPr="00765168">
        <w:rPr>
          <w:rFonts w:eastAsia="Times New Roman" w:cs="Times New Roman"/>
          <w:color w:val="424242"/>
          <w:szCs w:val="24"/>
          <w:lang w:eastAsia="ru-RU"/>
        </w:rPr>
        <w:t>) формируется с учетом базовой модели автомобиля и сложности конструкции установленного на нем специального оборудования.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Результирующие коэффициенты корректирования нормативов периодичности ТО и пробега до КР должны быть не менее 0,5.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Значения коэффициентов корректирования (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— в зависимости от условий эксплуатации;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2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— от модификации подвижного состава и организации его работы;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color w:val="424242"/>
          <w:szCs w:val="24"/>
          <w:lang w:eastAsia="ru-RU"/>
        </w:rPr>
        <w:t>,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К΄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, К΄΄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— от природно-климатических условий,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=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К΄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К΄΄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3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;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4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, К΄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4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— от пробега с начала эксплуатации;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5</w:t>
      </w:r>
      <w:r w:rsidRPr="00765168">
        <w:rPr>
          <w:rFonts w:eastAsia="Times New Roman" w:cs="Times New Roman"/>
          <w:color w:val="424242"/>
          <w:szCs w:val="24"/>
          <w:lang w:eastAsia="ru-RU"/>
        </w:rPr>
        <w:t> — от количества обслуживаемых и ремонтируемых автомобилей и технологически совместимых групп подвижного состава) приведены в табл. 3.7...3.11.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Продолжительность простоя подвижного состава в ТО и ремонте планируют в соответствии с нормативами, приведенными в табл. 3.4, и корректируют умножением нормативов на коэффициент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К΄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4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(табл. 3.10), зависящий от пробега с начала эксплуатации.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Таблица 3.7</w:t>
      </w:r>
    </w:p>
    <w:tbl>
      <w:tblPr>
        <w:tblW w:w="0" w:type="auto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2917"/>
        <w:gridCol w:w="1541"/>
        <w:gridCol w:w="2087"/>
        <w:gridCol w:w="899"/>
      </w:tblGrid>
      <w:tr w:rsidR="00765168" w:rsidRPr="00765168" w:rsidTr="00765168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Категория условий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1 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для корректирования нормативов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периодичности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удельной трудоемкости 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пробега до КР*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расхода запасных частей **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1,65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* При корректировании нормы пробега до КР двигателя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принимается равным: 0,7 — для III категории условий эксплуатации; 0,6 — для IV категории; 0,5 — для V категории.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** Соответственно коэффициент 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К</w:t>
      </w:r>
      <w:r w:rsidRPr="00765168">
        <w:rPr>
          <w:rFonts w:eastAsia="Times New Roman" w:cs="Times New Roman"/>
          <w:i/>
          <w:iCs/>
          <w:color w:val="424242"/>
          <w:szCs w:val="24"/>
          <w:vertAlign w:val="subscript"/>
          <w:lang w:eastAsia="ru-RU"/>
        </w:rPr>
        <w:t>1</w:t>
      </w: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корректирования норм расхода запасных частей для двигателя составляет: 1,4 — для III категории условий эксплуатации; 1,65 — для IV категории; 2,0 — для V категории.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Примечание.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После определения с корректированной периодичностью ТО проверяется ее кратность между видами ТО с последующим округлением для целых сотен километров.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Таблица 3.8</w:t>
      </w:r>
    </w:p>
    <w:tbl>
      <w:tblPr>
        <w:tblW w:w="0" w:type="auto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6"/>
        <w:gridCol w:w="2772"/>
        <w:gridCol w:w="1858"/>
        <w:gridCol w:w="932"/>
      </w:tblGrid>
      <w:tr w:rsidR="00765168" w:rsidRPr="00765168" w:rsidTr="00765168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Модификация подвижного состава и организация его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2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 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для корректирования нормативов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трудоемкости ТО и 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пробега до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расхода запасных частей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Базовый 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Седельный тягач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Автомобили: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 одним прицепом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с двумя прицепами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Автомобили-самосвалы: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при работе на плечах свыше 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 одним прицепом или при работе на коротких плечах (до 5 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 двумя прицепами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Специализированный подвижной состав (в зависимости от сложности оборудования)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1,10 1,20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— 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— —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* Нормативы трудоемкости ТО и ТР специализированного подвижного состава уточняются во второй части Положения по конкретному семейству подвижного состава.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Таблица 3.9</w:t>
      </w:r>
    </w:p>
    <w:tbl>
      <w:tblPr>
        <w:tblW w:w="0" w:type="auto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3202"/>
        <w:gridCol w:w="1318"/>
        <w:gridCol w:w="1541"/>
        <w:gridCol w:w="884"/>
        <w:gridCol w:w="539"/>
      </w:tblGrid>
      <w:tr w:rsidR="00765168" w:rsidRPr="00765168" w:rsidTr="00765168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Климатический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К΄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3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, 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К΄΄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3 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корректирования нормативов</w:t>
            </w:r>
          </w:p>
        </w:tc>
      </w:tr>
      <w:tr w:rsidR="00765168" w:rsidRPr="00765168" w:rsidTr="00765168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периодичности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удельной трудоемкости 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пробега до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расхода запасных частей</w:t>
            </w:r>
          </w:p>
        </w:tc>
      </w:tr>
      <w:tr w:rsidR="00765168" w:rsidRPr="00765168" w:rsidTr="00765168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КоэффициентК΄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Умеренно теплый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Влажный, теплый влажный, жаркий сухой, очень жаркий сухой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Умеренно холодный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Холодный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1,25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Очень холодный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Коэффициент К΄΄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 высокой агрессивностью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Примечания: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1. Корректирование нормативов производится для серийных моделей, в конструкции которых не учтены специфические особенности работы в данных районах.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2. Агрессивность окружающей среды учитывается и при постоянном использовании подвижного состава для перевозки химических грузов, вызывающих интенсивную коррозию деталей.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Таблица 3.10</w:t>
      </w:r>
    </w:p>
    <w:tbl>
      <w:tblPr>
        <w:tblW w:w="0" w:type="auto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1747"/>
        <w:gridCol w:w="1407"/>
        <w:gridCol w:w="784"/>
        <w:gridCol w:w="764"/>
        <w:gridCol w:w="784"/>
        <w:gridCol w:w="779"/>
      </w:tblGrid>
      <w:tr w:rsidR="00765168" w:rsidRPr="00765168" w:rsidTr="00765168">
        <w:trPr>
          <w:gridAfter w:val="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Пробег с начала эксплуатации, в долях от нормативного до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Автомобили</w:t>
            </w:r>
          </w:p>
        </w:tc>
      </w:tr>
      <w:tr w:rsidR="00765168" w:rsidRPr="00765168" w:rsidTr="00765168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грузовые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легковые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К΄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К΄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К΄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4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До 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Свыше 0,25 до 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0,7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0,50 » 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» 0,75 »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1,00 » 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1,25 » 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1,50 » 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1,75 »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1,4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b/>
          <w:bCs/>
          <w:color w:val="424242"/>
          <w:szCs w:val="24"/>
          <w:lang w:eastAsia="ru-RU"/>
        </w:rPr>
        <w:t>Таблица 3.11</w:t>
      </w:r>
    </w:p>
    <w:tbl>
      <w:tblPr>
        <w:tblW w:w="0" w:type="auto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3501"/>
        <w:gridCol w:w="1091"/>
        <w:gridCol w:w="899"/>
      </w:tblGrid>
      <w:tr w:rsidR="00765168" w:rsidRPr="00765168" w:rsidTr="00765168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Количество автомобилей, обслуживаемых и ремонтируемых на автотранспортном предприятии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lang w:eastAsia="ru-RU"/>
              </w:rPr>
              <w:t>К</w:t>
            </w:r>
            <w:r w:rsidRPr="00765168">
              <w:rPr>
                <w:rFonts w:eastAsia="Times New Roman" w:cs="Times New Roman"/>
                <w:i/>
                <w:iCs/>
                <w:color w:val="424242"/>
                <w:szCs w:val="24"/>
                <w:vertAlign w:val="subscript"/>
                <w:lang w:eastAsia="ru-RU"/>
              </w:rPr>
              <w:t>5</w:t>
            </w: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 для технологически совместимых групп подвижного состава</w:t>
            </w:r>
          </w:p>
        </w:tc>
      </w:tr>
      <w:tr w:rsidR="00765168" w:rsidRPr="00765168" w:rsidTr="00765168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менее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более 3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До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1,30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Свыше 100 до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1,20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200 »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1,10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» 300 »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1,05</w:t>
            </w:r>
          </w:p>
        </w:tc>
      </w:tr>
      <w:tr w:rsidR="00765168" w:rsidRPr="00765168" w:rsidTr="007651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lastRenderedPageBreak/>
              <w:t>»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168" w:rsidRPr="00765168" w:rsidRDefault="00765168" w:rsidP="00765168">
            <w:pPr>
              <w:spacing w:before="187" w:after="187"/>
              <w:ind w:left="187" w:right="187" w:firstLine="0"/>
              <w:rPr>
                <w:rFonts w:eastAsia="Times New Roman" w:cs="Times New Roman"/>
                <w:color w:val="424242"/>
                <w:szCs w:val="24"/>
                <w:lang w:eastAsia="ru-RU"/>
              </w:rPr>
            </w:pPr>
            <w:r w:rsidRPr="00765168">
              <w:rPr>
                <w:rFonts w:eastAsia="Times New Roman" w:cs="Times New Roman"/>
                <w:color w:val="424242"/>
                <w:szCs w:val="24"/>
                <w:lang w:eastAsia="ru-RU"/>
              </w:rPr>
              <w:t>0,95</w:t>
            </w:r>
          </w:p>
        </w:tc>
      </w:tr>
    </w:tbl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Примечание.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Количество автомобилей в технологически совместимой группе должно быть не менее 25.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В условиях АТП режимы ТО автомобилей могут также корректировать в соответствии с объективными данными действующей системы учета по отказам и неисправностям автомобилей, затратам на их ТО и ремонт. Основным методом корректирования режимов ТО и объема сопутствующих ремонтных работ являются учет условий эксплуатации автомобилей, а также анализ фактически выполняемых в данном предприятии операций ТО и ТР, которые непосредственно связаны с режимами и качеством выполняемых профилактических работ. Периодичность ТО корректируют, исходя из условий эксплуатации подвижного состава, а перечень профилактических работ (в который переносятся часто повторяющиеся операции ТР и исключаются нехарактерные в данных условиях эксплуатации операции ТО) уточняют на основании совместного анализа операций ТО и ремонта. Операции сопутствующего ТР включают в перечень обязательных ТО в зависимости от фактической средней периодичности их выполнения, группы, к которой они относятся, принятой на предприятии периодичности ТО-1 и ТО-2, а также их кратности. При корректировании перечней работ соответственно изменяются трудоемкость ТО и ремонта.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 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Выполнение профилактических и ремонтных работ автомобильной техники в заранее запланированный срок или после определенной наработки не вполне удовлетворяет возросшим требованиям обеспечения безопасности дорожного движения и экономичной эксплуатации подвижного состава. Не исключены случаи появления отказов и неисправностей. Некоторые профилактические работы выполняются преждевременно или с опозданием. Основной причиной такого положения является то, что большинство работ по ТО и ремонту автомобильной техники осуществляется без учета фактического технического состояния элементов автомобиля. В связи с этим назрела необходимость дальнейшего совершенствования системы ТО и ремонта автомобильной техники.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Наиболее совершенной системой ТО и ремонта автомобилей следует считать такую, которая наиболее полно обеспечивает взаимодействие процессов изменения технического состояния автомобиля (т. е. процессов изменения диагностических параметров) и процессов восстановления. Классическим примером такой системы могут быть обслуживание и ремонт автомобильной техники по техническому состоянию.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Техническое обслуживание автомобилей по техническому состоянию называется планово-предупредительным.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Периодичность и объем работ по технической диагностике являются планируемыми. Предупредительный характер их обеспечивается постоянным наблюдением за надежностью и техническим состоянием автомобилей с целью своевременного выявления </w:t>
      </w:r>
      <w:proofErr w:type="spellStart"/>
      <w:r w:rsidRPr="00765168">
        <w:rPr>
          <w:rFonts w:eastAsia="Times New Roman" w:cs="Times New Roman"/>
          <w:color w:val="424242"/>
          <w:szCs w:val="24"/>
          <w:lang w:eastAsia="ru-RU"/>
        </w:rPr>
        <w:t>предотказного</w:t>
      </w:r>
      <w:proofErr w:type="spellEnd"/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 состояния. Принцип предупреждения отказов </w:t>
      </w:r>
      <w:r w:rsidRPr="00765168">
        <w:rPr>
          <w:rFonts w:eastAsia="Times New Roman" w:cs="Times New Roman"/>
          <w:color w:val="424242"/>
          <w:szCs w:val="24"/>
          <w:lang w:eastAsia="ru-RU"/>
        </w:rPr>
        <w:lastRenderedPageBreak/>
        <w:t>и неисправностей является основным. С этой целью широко можно использовать назначение упреждающих допусков.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Упреждающий допуск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— совокупность значений параметров, заключенных между предельным и </w:t>
      </w:r>
      <w:proofErr w:type="spellStart"/>
      <w:r w:rsidRPr="00765168">
        <w:rPr>
          <w:rFonts w:eastAsia="Times New Roman" w:cs="Times New Roman"/>
          <w:color w:val="424242"/>
          <w:szCs w:val="24"/>
          <w:lang w:eastAsia="ru-RU"/>
        </w:rPr>
        <w:t>предотказным</w:t>
      </w:r>
      <w:proofErr w:type="spellEnd"/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 уровнями. Выход параметра за предельное состояние означает отказ, достижение </w:t>
      </w:r>
      <w:proofErr w:type="spellStart"/>
      <w:r w:rsidRPr="00765168">
        <w:rPr>
          <w:rFonts w:eastAsia="Times New Roman" w:cs="Times New Roman"/>
          <w:color w:val="424242"/>
          <w:szCs w:val="24"/>
          <w:lang w:eastAsia="ru-RU"/>
        </w:rPr>
        <w:t>предотказного</w:t>
      </w:r>
      <w:proofErr w:type="spellEnd"/>
      <w:r w:rsidRPr="00765168">
        <w:rPr>
          <w:rFonts w:eastAsia="Times New Roman" w:cs="Times New Roman"/>
          <w:color w:val="424242"/>
          <w:szCs w:val="24"/>
          <w:lang w:eastAsia="ru-RU"/>
        </w:rPr>
        <w:t xml:space="preserve"> уровня — необходимость проведения профилактических мероприятий.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При ТО и ремонте автомобилей по техническому состоянию с контролем уровня надежности элементов автомобиля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элементы подвижного состава эксплуатируют без ограничения ресурса до отказа. Фактический уровень надежности элементов автомобиля (например, параметр потока отказов) не должен превышать установленного верхнего статистического уровня. В случае превышения этого уровня при прочих равных условиях для определенных элементов автомобиля последний направляется на обслуживание или ремонт; временно устанавливается межремонтный ресурс, который рассматривается как сигнал о необходимости повышения надежности данных элементов автомобиля. Чтобы применить этот метод, необходимо четко организовать систему сбора и обработки информации об отказах и неисправностях элементов автомобилей в АТП.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i/>
          <w:iCs/>
          <w:color w:val="424242"/>
          <w:szCs w:val="24"/>
          <w:lang w:eastAsia="ru-RU"/>
        </w:rPr>
        <w:t>При ТО и ремонте автомобилей по техническому состоянию с контролем параметров агрегатов </w:t>
      </w:r>
      <w:r w:rsidRPr="00765168">
        <w:rPr>
          <w:rFonts w:eastAsia="Times New Roman" w:cs="Times New Roman"/>
          <w:color w:val="424242"/>
          <w:szCs w:val="24"/>
          <w:lang w:eastAsia="ru-RU"/>
        </w:rPr>
        <w:t>после отработки установленного ресурса предусматриваются непрерывный, или периодический, контроль и изменение параметров, определяющих техническое состояние тех или иных агрегатов. По результатам контроля принимается решение о продолжении эксплуатации автомобиля до следующей проверки. Изменения функциональных и диагностических параметров агрегатов производятся с определенной периодичностью в движении и при выполнении ТО и ремонта автомобиля.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Прогноз технического состояния или надежности агрегата устанавливается на период не менее чем до следующей проверки значений параметров. Параллельно используется статистическая информация о надежности элементов автомобиля. Данные прогноза — техническая основа для принятия решения о допуске агрегата к дальнейшей эксплуатации. ТО и ремонт автомобилей по техническому состоянию с контролем параметров эксплуатируемых агрегатов автомобиля относится к наиболее эффективным, а для наиболее сложных и ответственных агрегатов — и к единственно возможным.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Применение ТО и ремонта автомобилей по техническому состоянию потребует: широкого внедрения на АТП средств и методов технической диагностики, цифровых ЭВМ для оценки и прогнозирования технического состояния элементов, а также для сбора и обработки статистической информации о надежности автомобилей; создания на предприятиях специальных подразделений, которые выполняют работы по оценке и прогнозированию технического состояния автомобилей и принимают решение о допуске их к эксплуатации или назначении необходимых профилактических либо ремонтных мероприятий.</w:t>
      </w:r>
    </w:p>
    <w:p w:rsidR="00765168" w:rsidRPr="00765168" w:rsidRDefault="00765168" w:rsidP="00765168">
      <w:pPr>
        <w:shd w:val="clear" w:color="auto" w:fill="FFFFFF"/>
        <w:spacing w:before="281" w:after="100" w:afterAutospacing="1" w:line="288" w:lineRule="atLeast"/>
        <w:ind w:left="281" w:right="655" w:firstLine="0"/>
        <w:rPr>
          <w:rFonts w:eastAsia="Times New Roman" w:cs="Times New Roman"/>
          <w:color w:val="424242"/>
          <w:szCs w:val="24"/>
          <w:lang w:eastAsia="ru-RU"/>
        </w:rPr>
      </w:pPr>
      <w:r w:rsidRPr="00765168">
        <w:rPr>
          <w:rFonts w:eastAsia="Times New Roman" w:cs="Times New Roman"/>
          <w:color w:val="424242"/>
          <w:szCs w:val="24"/>
          <w:lang w:eastAsia="ru-RU"/>
        </w:rPr>
        <w:t>Применение ТО и ремонта автомобилей по техническому состоянию позволит более полно использовать «индивидуальные» возможности элементов автомобиля без увеличения вероятности их отказа, а также усовершенствовать конструкции вновь создаваемых моделей автомобилей.</w:t>
      </w:r>
    </w:p>
    <w:p w:rsidR="002D5BCE" w:rsidRPr="00765168" w:rsidRDefault="002D5BCE">
      <w:pPr>
        <w:rPr>
          <w:rFonts w:cs="Times New Roman"/>
          <w:szCs w:val="24"/>
        </w:rPr>
      </w:pPr>
    </w:p>
    <w:sectPr w:rsidR="002D5BCE" w:rsidRPr="00765168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5168"/>
    <w:rsid w:val="00187CF2"/>
    <w:rsid w:val="002D5BCE"/>
    <w:rsid w:val="005E6BC5"/>
    <w:rsid w:val="00765168"/>
    <w:rsid w:val="00B91F61"/>
    <w:rsid w:val="00D36DE6"/>
    <w:rsid w:val="00F7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16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65168"/>
    <w:rPr>
      <w:b/>
      <w:bCs/>
    </w:rPr>
  </w:style>
  <w:style w:type="table" w:styleId="a5">
    <w:name w:val="Table Grid"/>
    <w:basedOn w:val="a1"/>
    <w:uiPriority w:val="59"/>
    <w:rsid w:val="0076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2598</Words>
  <Characters>14810</Characters>
  <Application>Microsoft Office Word</Application>
  <DocSecurity>0</DocSecurity>
  <Lines>123</Lines>
  <Paragraphs>34</Paragraphs>
  <ScaleCrop>false</ScaleCrop>
  <Company/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2020-04-27T09:05:00Z</dcterms:created>
  <dcterms:modified xsi:type="dcterms:W3CDTF">2020-04-27T09:06:00Z</dcterms:modified>
</cp:coreProperties>
</file>