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9D" w:rsidRPr="00BA0B56" w:rsidRDefault="005D569D" w:rsidP="005D569D">
      <w:pPr>
        <w:pStyle w:val="a3"/>
        <w:spacing w:after="0" w:line="240" w:lineRule="auto"/>
        <w:ind w:left="709"/>
        <w:contextualSpacing w:val="0"/>
        <w:jc w:val="center"/>
        <w:rPr>
          <w:rFonts w:ascii="Times New Roman" w:hAnsi="Times New Roman" w:cs="Times New Roman"/>
          <w:b/>
          <w:bCs/>
          <w:sz w:val="28"/>
          <w:szCs w:val="28"/>
        </w:rPr>
      </w:pPr>
      <w:r w:rsidRPr="00BA0B56">
        <w:rPr>
          <w:rFonts w:ascii="Times New Roman" w:hAnsi="Times New Roman" w:cs="Times New Roman"/>
          <w:b/>
          <w:bCs/>
          <w:sz w:val="28"/>
          <w:szCs w:val="28"/>
        </w:rPr>
        <w:t>УЧАСТИЕ В КОЛЛЕКТИВНЫХ ИНИЦИАТИВАХ</w:t>
      </w:r>
    </w:p>
    <w:p w:rsidR="005D569D" w:rsidRPr="00BA0B56" w:rsidRDefault="005D569D" w:rsidP="005D569D">
      <w:pPr>
        <w:pStyle w:val="a3"/>
        <w:spacing w:after="0" w:line="240" w:lineRule="auto"/>
        <w:ind w:left="0" w:firstLine="709"/>
        <w:contextualSpacing w:val="0"/>
        <w:jc w:val="both"/>
        <w:rPr>
          <w:rFonts w:ascii="Times New Roman" w:hAnsi="Times New Roman" w:cs="Times New Roman"/>
          <w:b/>
          <w:bCs/>
          <w:sz w:val="28"/>
          <w:szCs w:val="28"/>
        </w:rPr>
      </w:pP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Примеры коллективных инициатив в области предупреждения коррупции, в которых могут участвовать организации</w:t>
      </w:r>
    </w:p>
    <w:p w:rsidR="005D569D" w:rsidRPr="00BA0B56" w:rsidRDefault="005D569D" w:rsidP="005D569D">
      <w:pPr>
        <w:pStyle w:val="a3"/>
        <w:spacing w:after="0" w:line="240" w:lineRule="auto"/>
        <w:ind w:left="0" w:firstLine="709"/>
        <w:contextualSpacing w:val="0"/>
        <w:jc w:val="both"/>
        <w:rPr>
          <w:rFonts w:ascii="Times New Roman" w:hAnsi="Times New Roman" w:cs="Times New Roman"/>
          <w:b/>
          <w:bCs/>
          <w:sz w:val="28"/>
          <w:szCs w:val="28"/>
        </w:rPr>
      </w:pP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коллективных антикоррупционных инициативах.</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 Ведущие объединения российского бизнеса в 2012 г. подписали Антикоррупционную хартию российского бизнеса. Организациями — инициаторами документа стали Торгово-промышленная палата РФ, Российский союз промышленников и предпринимателей, Общероссийская общественная организация малого и среднего бизнеса «Опора России» и Общероссийская общественная организация «Деловая Россия».</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Эта инициатива была замечена и поддержана государственными структурами. В Методических рекомендациях по разработке и принятию организациями мер по предупреждению и противодействию коррупции, утвержденных Минтрудом России 8 ноября 2013 г. и одобренных президиумом Совета при Президенте Российской Федерации по противодействию коррупции 8 апреля 2014 г., компаниям было рекомендовано принимать участие в коллективных инициативах по противодействию коррупции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качестве примера подобных инициатив были предложены:</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 xml:space="preserve"> присоединение к Антикоррупционной хартии российского бизнеса;</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 xml:space="preserve"> использование в совместных договорах стандартных антикоррупционных оговорок;</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 xml:space="preserve"> участие в формировании Реестра надежных партнеров;</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 xml:space="preserve"> публичный отказ от совместной деятельности с лицами (организациями), замешанными в коррупционных преступлениях;</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 xml:space="preserve"> организация и проведение совместного обучения методам профилактики и противодействия коррупции. </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В вопросах профилактики и противодействия коррупции было рекомендовано сотрудничать с </w:t>
      </w:r>
      <w:proofErr w:type="gramStart"/>
      <w:r w:rsidRPr="00BA0B56">
        <w:rPr>
          <w:rFonts w:ascii="Times New Roman" w:hAnsi="Times New Roman" w:cs="Times New Roman"/>
          <w:sz w:val="28"/>
          <w:szCs w:val="28"/>
        </w:rPr>
        <w:t>бизнес-сообществами</w:t>
      </w:r>
      <w:proofErr w:type="gramEnd"/>
      <w:r w:rsidRPr="00BA0B56">
        <w:rPr>
          <w:rFonts w:ascii="Times New Roman" w:hAnsi="Times New Roman" w:cs="Times New Roman"/>
          <w:sz w:val="28"/>
          <w:szCs w:val="28"/>
        </w:rPr>
        <w:t>, являющимися инициаторами присоединения к хартии.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Целью Антикоррупционной хартии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w:t>
      </w:r>
      <w:r w:rsidRPr="00BA0B56">
        <w:rPr>
          <w:rFonts w:ascii="Times New Roman" w:hAnsi="Times New Roman" w:cs="Times New Roman"/>
          <w:sz w:val="28"/>
          <w:szCs w:val="28"/>
        </w:rPr>
        <w:lastRenderedPageBreak/>
        <w:t>обучение и работу с персоналом, содействие правоохранительным органам и иные меры.</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Организациями-участниками дополнительно может быть получено документальное подтверждение реализации в организациях положений Антикоррупционной хартии (сертификация) в специально аккредитованных учреждениях. Организации могут присоединяться к Антикоррупционной хартии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Торгово-промышленной палатой Российской Федерац</w:t>
      </w:r>
      <w:proofErr w:type="gramStart"/>
      <w:r w:rsidRPr="00BA0B56">
        <w:rPr>
          <w:rFonts w:ascii="Times New Roman" w:hAnsi="Times New Roman" w:cs="Times New Roman"/>
          <w:sz w:val="28"/>
          <w:szCs w:val="28"/>
        </w:rPr>
        <w:t>ии и ее</w:t>
      </w:r>
      <w:proofErr w:type="gramEnd"/>
      <w:r w:rsidRPr="00BA0B56">
        <w:rPr>
          <w:rFonts w:ascii="Times New Roman" w:hAnsi="Times New Roman" w:cs="Times New Roman"/>
          <w:sz w:val="28"/>
          <w:szCs w:val="28"/>
        </w:rPr>
        <w:t xml:space="preserve"> региональными объединениями (http://www.tpprf.ru);</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Российским союзом промышленников и предпринимателей (http://www.rspp.ru/);</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Общероссийской общественной организацией "Деловая Россия" (</w:t>
      </w:r>
      <w:hyperlink r:id="rId6" w:history="1">
        <w:r w:rsidRPr="00BA0B56">
          <w:rPr>
            <w:rStyle w:val="a4"/>
            <w:rFonts w:ascii="Times New Roman" w:hAnsi="Times New Roman" w:cs="Times New Roman"/>
            <w:sz w:val="28"/>
            <w:szCs w:val="28"/>
          </w:rPr>
          <w:t>www.deloros.ru</w:t>
        </w:r>
      </w:hyperlink>
      <w:r w:rsidRPr="00BA0B56">
        <w:rPr>
          <w:rFonts w:ascii="Times New Roman" w:hAnsi="Times New Roman" w:cs="Times New Roman"/>
          <w:sz w:val="28"/>
          <w:szCs w:val="28"/>
        </w:rPr>
        <w:t>);</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Общероссийской общественной организации малого и среднего предпринимательства "ОПОРА РОССИИ" (</w:t>
      </w:r>
      <w:hyperlink r:id="rId7" w:history="1">
        <w:r w:rsidRPr="00BA0B56">
          <w:rPr>
            <w:rStyle w:val="a4"/>
            <w:rFonts w:ascii="Times New Roman" w:hAnsi="Times New Roman" w:cs="Times New Roman"/>
            <w:sz w:val="28"/>
            <w:szCs w:val="28"/>
          </w:rPr>
          <w:t>www.opora.ru</w:t>
        </w:r>
      </w:hyperlink>
      <w:r w:rsidRPr="00BA0B56">
        <w:rPr>
          <w:rFonts w:ascii="Times New Roman" w:hAnsi="Times New Roman" w:cs="Times New Roman"/>
          <w:sz w:val="28"/>
          <w:szCs w:val="28"/>
        </w:rPr>
        <w:t>).</w:t>
      </w:r>
    </w:p>
    <w:p w:rsidR="005D569D" w:rsidRPr="00BA0B56" w:rsidRDefault="005D569D" w:rsidP="005D569D">
      <w:pPr>
        <w:pStyle w:val="a3"/>
        <w:spacing w:after="0" w:line="240" w:lineRule="auto"/>
        <w:ind w:left="0" w:firstLine="709"/>
        <w:contextualSpacing w:val="0"/>
        <w:jc w:val="both"/>
        <w:rPr>
          <w:rFonts w:ascii="Times New Roman" w:hAnsi="Times New Roman" w:cs="Times New Roman"/>
          <w:sz w:val="28"/>
          <w:szCs w:val="28"/>
        </w:rPr>
      </w:pP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Преимущества подобного участия</w:t>
      </w:r>
    </w:p>
    <w:p w:rsidR="005D569D" w:rsidRPr="00BA0B56" w:rsidRDefault="005D569D" w:rsidP="005D569D">
      <w:pPr>
        <w:pStyle w:val="a3"/>
        <w:spacing w:after="0" w:line="240" w:lineRule="auto"/>
        <w:ind w:left="0" w:firstLine="709"/>
        <w:contextualSpacing w:val="0"/>
        <w:jc w:val="both"/>
        <w:rPr>
          <w:rFonts w:ascii="Times New Roman" w:hAnsi="Times New Roman" w:cs="Times New Roman"/>
          <w:sz w:val="28"/>
          <w:szCs w:val="28"/>
        </w:rPr>
      </w:pPr>
    </w:p>
    <w:p w:rsidR="005D569D" w:rsidRPr="00BA0B56" w:rsidRDefault="005D569D" w:rsidP="005D569D">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Повышение информированности организаций и их сотрудников об антикоррупционной политике государства </w:t>
      </w:r>
    </w:p>
    <w:p w:rsidR="005D569D" w:rsidRPr="00BA0B56" w:rsidRDefault="005D569D" w:rsidP="005D569D">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 xml:space="preserve">Повышение информированности о существующих подходах к выстраиванию антикоррупционной политики организаций </w:t>
      </w:r>
    </w:p>
    <w:p w:rsidR="005D569D" w:rsidRPr="00BA0B56" w:rsidRDefault="005D569D" w:rsidP="005D569D">
      <w:pPr>
        <w:pStyle w:val="a3"/>
        <w:numPr>
          <w:ilvl w:val="0"/>
          <w:numId w:val="3"/>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5D569D" w:rsidRPr="00BA0B56" w:rsidRDefault="005D569D" w:rsidP="005D569D">
      <w:pPr>
        <w:spacing w:after="0" w:line="240" w:lineRule="auto"/>
        <w:ind w:firstLine="709"/>
        <w:jc w:val="both"/>
        <w:rPr>
          <w:rFonts w:ascii="Times New Roman" w:hAnsi="Times New Roman" w:cs="Times New Roman"/>
          <w:b/>
          <w:bCs/>
          <w:sz w:val="28"/>
          <w:szCs w:val="28"/>
        </w:rPr>
      </w:pP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Коллегиальные органы государственных органов, участие в которых возможно для организаций в целях предупреждения коррупции</w:t>
      </w:r>
    </w:p>
    <w:p w:rsidR="005D569D" w:rsidRPr="00BA0B56" w:rsidRDefault="005D569D" w:rsidP="005D569D">
      <w:pPr>
        <w:pStyle w:val="a3"/>
        <w:spacing w:after="0" w:line="240" w:lineRule="auto"/>
        <w:ind w:left="0" w:firstLine="709"/>
        <w:contextualSpacing w:val="0"/>
        <w:jc w:val="both"/>
        <w:rPr>
          <w:rFonts w:ascii="Times New Roman" w:hAnsi="Times New Roman" w:cs="Times New Roman"/>
          <w:sz w:val="28"/>
          <w:szCs w:val="28"/>
        </w:rPr>
      </w:pPr>
    </w:p>
    <w:p w:rsidR="005D569D" w:rsidRPr="00BA0B56" w:rsidRDefault="005D569D" w:rsidP="005D569D">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Важнейшая роль в осуществлении мер по противодействию коррупции, повышении их эффективности, обеспечении законности, обоснованности и беспристрастности при принятии решений в пределах компетенции принадлежит специальным коллегиальным органам — комиссиям по соблюдению требований к служебному поведению и урегулированию конфликта интересов (далее — комиссии).</w:t>
      </w:r>
    </w:p>
    <w:p w:rsidR="005D569D" w:rsidRPr="00BA0B56" w:rsidRDefault="005D569D" w:rsidP="005D569D">
      <w:pPr>
        <w:spacing w:after="0" w:line="240" w:lineRule="auto"/>
        <w:ind w:firstLine="709"/>
        <w:jc w:val="both"/>
        <w:rPr>
          <w:rFonts w:ascii="Times New Roman" w:hAnsi="Times New Roman" w:cs="Times New Roman"/>
          <w:sz w:val="28"/>
          <w:szCs w:val="28"/>
        </w:rPr>
      </w:pPr>
      <w:proofErr w:type="gramStart"/>
      <w:r w:rsidRPr="00BA0B56">
        <w:rPr>
          <w:rFonts w:ascii="Times New Roman" w:hAnsi="Times New Roman" w:cs="Times New Roman"/>
          <w:sz w:val="28"/>
          <w:szCs w:val="28"/>
        </w:rPr>
        <w:t>Изначально создание комиссий основывалось на ст. 19 Федерального закона от 27 июля 2004 г. № 79‑ФЗ «О государственной гражданской службе Российской Федерации»1 (далее — Закон о гражданской службе), содержащей общие требования к ним, и Положении 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 утвержденном Указом Президента РФ от 3 марта 2007</w:t>
      </w:r>
      <w:proofErr w:type="gramEnd"/>
      <w:r w:rsidRPr="00BA0B56">
        <w:rPr>
          <w:rFonts w:ascii="Times New Roman" w:hAnsi="Times New Roman" w:cs="Times New Roman"/>
          <w:sz w:val="28"/>
          <w:szCs w:val="28"/>
        </w:rPr>
        <w:t xml:space="preserve"> г. № 2692 </w:t>
      </w:r>
      <w:r w:rsidRPr="00BA0B56">
        <w:rPr>
          <w:rFonts w:ascii="Times New Roman" w:hAnsi="Times New Roman" w:cs="Times New Roman"/>
          <w:sz w:val="28"/>
          <w:szCs w:val="28"/>
        </w:rPr>
        <w:lastRenderedPageBreak/>
        <w:t>(далее — Положение) и имело отношение только применительно к деятельности государственных гражданских служащих РФ (далее — гражданские служащие). При этом в связи с отсутствием полноценного правового регулирования противодействия коррупции перед комиссиями ставились достаточно узкие задачи: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содействие государственным органам в обеспечении соблюдения гражданскими служащими требований к служебному поведению;</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содействие государственным органам в урегулировании конфликта интересов, способного привести к причинению вреда законным интересам граждан, организаций, общества, субъекта РФ или Российской Федерации.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Указанные задачи определяли и крайне ограниченную компетенцию комиссий:</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рассмотрение полученной от правоохранительных, судебных или иных государственных органов, от организаций, должностных лиц или граждан информации о совершении гражданским служащим поступков, порочащих его честь и достоинство, или об ином нарушении гражданским служащим требований к служебному поведению;</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рассмотрение информации о наличии у гражданского служащего личной заинтересованности, которая приводит или может привести к конфликту интересов.</w:t>
      </w:r>
      <w:r w:rsidRPr="00BA0B56">
        <w:rPr>
          <w:rFonts w:ascii="Times New Roman" w:hAnsi="Times New Roman" w:cs="Times New Roman"/>
          <w:sz w:val="28"/>
          <w:szCs w:val="28"/>
        </w:rPr>
        <w:cr/>
      </w:r>
    </w:p>
    <w:p w:rsidR="005D569D" w:rsidRPr="00BA0B56" w:rsidRDefault="005D569D" w:rsidP="005D569D">
      <w:pPr>
        <w:pStyle w:val="a3"/>
        <w:numPr>
          <w:ilvl w:val="0"/>
          <w:numId w:val="2"/>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Большой интерес вызывают полномочия Президиума по рассмотрению вопросов противодействия коррупции. Само наличие такого коллегиального органа определено необходимостью выполнения мероприятий по противодействию коррупции в отношении лиц, замещающих высшие должности, которые в силу своего правового статуса не могут являться субъектами деятельности комиссий.</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Указанная деятельность Президиума регулируется Положением о Президиуме. Важным является сравнительный анализ Положения о комиссиях и Положения о Президиуме с точки зрения влияния на компетенцию Президиума особенностей статуса участников антикоррупционных отношений, являющихся объектами деятельности Президиума. Так, Положение о Президиуме не предусматривает право лиц, замещающих высшие должности и планирующих свое увольнение с государственной службы, подать обращение о даче согласия на замещение должности в организации. Такая позиция, вероятно, обусловлена специфическим правовым положением указанной категории лиц, выполнение которыми своих обязанностей является для государства исключительным приоритетом, не допускающим возможность отвлечения на осуществление планирования иной деятельности. Начало соответствующей процедуры реализации лицами, замещающими высшие должности, своего права на труд после увольнения с государственной службы может быть инициировано только после совершения такого юридического факта.</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Также Президиум, в отличие от комиссий, не наделен полномочиями по осуществлению </w:t>
      </w:r>
      <w:proofErr w:type="gramStart"/>
      <w:r w:rsidRPr="00BA0B56">
        <w:rPr>
          <w:rFonts w:ascii="Times New Roman" w:hAnsi="Times New Roman" w:cs="Times New Roman"/>
          <w:sz w:val="28"/>
          <w:szCs w:val="28"/>
        </w:rPr>
        <w:t>контроля за</w:t>
      </w:r>
      <w:proofErr w:type="gramEnd"/>
      <w:r w:rsidRPr="00BA0B56">
        <w:rPr>
          <w:rFonts w:ascii="Times New Roman" w:hAnsi="Times New Roman" w:cs="Times New Roman"/>
          <w:sz w:val="28"/>
          <w:szCs w:val="28"/>
        </w:rPr>
        <w:t xml:space="preserve"> соблюдением гражданином, замещавшим </w:t>
      </w:r>
      <w:r w:rsidRPr="00BA0B56">
        <w:rPr>
          <w:rFonts w:ascii="Times New Roman" w:hAnsi="Times New Roman" w:cs="Times New Roman"/>
          <w:sz w:val="28"/>
          <w:szCs w:val="28"/>
        </w:rPr>
        <w:lastRenderedPageBreak/>
        <w:t>высшую должность на государственной службе, включенную в перечень, установленный правовыми актами РФ, в течение двух лет после его увольнения с государственной службы требований ч. 1 ст. 12 Закона о противодействии коррупции. Указанное обстоятельство свидетельствует об отсутствии органа, уполномоченного устанавливать факт нарушения лицом, замещавшим высшую должность на государственной службе, требований ч. 1 ст. 12 Закона о противодействии коррупции, в частности, определять факт того, что отдельные функции государственного управления соответствующей организацией входили в его должностные (служебные) обязанности.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Безусловно, указанная функция может быть выполнена прокуратурой или судом, однако выявление нарушений ч. 1 ст. 12 Закона о противодействии коррупции в рассматриваемой ситуации будет фрагментарным и неэффективным.</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 3.            Также еще одним органом выступает общероссийская общественная организация «Общественная комиссия по борьбе с коррупцией». Общероссийская общественная организация «Общественная комиссия по борьбе с коррупцией» зарегистрирована    Министерством    юстиции    Российской    Федерации 1 сентября 2004 года, рег. № 4377. До этого момента организация носила название Международного союза общественных объединений «Движение против преступности и коррупции “Наше право”». За время работы организация  создала  разветвленную  структуру,  охватывающую   более 60 регионов России.  Общее  число  членов  комиссии  составляет  более  70 тысяч человек. При содействии организации в разных регионах страны с 2000 года в бюджет возвращено более 170 </w:t>
      </w:r>
      <w:proofErr w:type="gramStart"/>
      <w:r w:rsidRPr="00BA0B56">
        <w:rPr>
          <w:rFonts w:ascii="Times New Roman" w:hAnsi="Times New Roman" w:cs="Times New Roman"/>
          <w:sz w:val="28"/>
          <w:szCs w:val="28"/>
        </w:rPr>
        <w:t>млн</w:t>
      </w:r>
      <w:proofErr w:type="gramEnd"/>
      <w:r w:rsidRPr="00BA0B56">
        <w:rPr>
          <w:rFonts w:ascii="Times New Roman" w:hAnsi="Times New Roman" w:cs="Times New Roman"/>
          <w:sz w:val="28"/>
          <w:szCs w:val="28"/>
        </w:rPr>
        <w:t xml:space="preserve"> долл. В основу работы Общероссийской общественной организации  «Общественная  комиссия  по борьбе с коррупцией» положены принципы деятельности такой авторитетной организации, как Международный клуб экономической безопасности.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4.</w:t>
      </w:r>
      <w:r w:rsidRPr="00BA0B56">
        <w:rPr>
          <w:rFonts w:ascii="Times New Roman" w:hAnsi="Times New Roman" w:cs="Times New Roman"/>
          <w:sz w:val="28"/>
          <w:szCs w:val="28"/>
        </w:rPr>
        <w:tab/>
        <w:t>Комиссия Государственной Думы Федерального Собрания РФ по противодействию коррупции. Комиссия Государственной Думы Федерального Собрания Российской Федерации по противодействию коррупции (далее – Комиссия) образована в мае 2008 года в целях:</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осуществления в пределах своих полномочий деятельности, направленной на противодействие коррупции 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w:t>
      </w:r>
      <w:r w:rsidRPr="00BA0B56">
        <w:rPr>
          <w:rFonts w:ascii="Times New Roman" w:hAnsi="Times New Roman" w:cs="Times New Roman"/>
          <w:sz w:val="28"/>
          <w:szCs w:val="28"/>
        </w:rPr>
        <w:tab/>
        <w:t>анализа федерального законодательства в целях выявления положений, способствующих возникновению и распространению коррупции; подготовки предложений по совершенствованию федерального законодательства в области правового обеспечения противодействия коррупции.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Комиссия   в   пределах   своих   полномочий:    проводит    работу  по комплексному исследованию федерального законодательства в целях выявления положений, способствующих возникновению и распространению коррупции; разрабатывает предложения по совершенствованию </w:t>
      </w:r>
      <w:r w:rsidRPr="00BA0B56">
        <w:rPr>
          <w:rFonts w:ascii="Times New Roman" w:hAnsi="Times New Roman" w:cs="Times New Roman"/>
          <w:sz w:val="28"/>
          <w:szCs w:val="28"/>
        </w:rPr>
        <w:lastRenderedPageBreak/>
        <w:t xml:space="preserve">федерального законодательства в области правового обеспечения противодействия коррупции; изучает  законопроекты  при  подготовке  их к рассмотрению Государственной Думой в первом чтении в целях выявления положений, способствующих возникновению и распространению коррупции, представляет в профильные комитеты Государственной Думы    свои    отзывы,    предложения    и    замечания;    взаимодействует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общественными     объединениями, со средствами массовой информации и запрашивает у них документы и иные материалы, необходимые для осуществления своей деятельности; </w:t>
      </w:r>
      <w:proofErr w:type="gramStart"/>
      <w:r w:rsidRPr="00BA0B56">
        <w:rPr>
          <w:rFonts w:ascii="Times New Roman" w:hAnsi="Times New Roman" w:cs="Times New Roman"/>
          <w:sz w:val="28"/>
          <w:szCs w:val="28"/>
        </w:rPr>
        <w:t>анализирует решения, принимаемые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выявления положений, способствующих возникновению и распространению коррупции; изучает, анализирует и обобщает поступающие в Комиссию документы и иные материалы о коррупции и противодействии коррупции и информирует депутатов Государственной Думы о результатах этой работы для учета их в законотворческой деятельности Государственной Думы;</w:t>
      </w:r>
      <w:proofErr w:type="gramEnd"/>
      <w:r w:rsidRPr="00BA0B56">
        <w:rPr>
          <w:rFonts w:ascii="Times New Roman" w:hAnsi="Times New Roman" w:cs="Times New Roman"/>
          <w:sz w:val="28"/>
          <w:szCs w:val="28"/>
        </w:rPr>
        <w:t xml:space="preserve"> изучает практическое применение федерального законодательства, регулирующего    деятельность    правоохранительных    органов,    вносит в профильные комитеты Государственной Думы предложения по его совершенствованию; изучает отечественный и зарубежный опыт в области противодействия коррупции, готовит предложения по его использованию  в законодательной деятельности; выступает с инициативой проведения парламентских слушаний по вопросам, отнесенным к ведению Комиссии, организует и проводит парламентские слушания по указанным вопросам,  а также другие мероприятия в Государственной Думе, предусмотренные Регламентом Государственной Думы Федерального Собрания Российской Федерации; разрабатывает и вносит предложения в план международных связей Государственной Думы с парламентами других государств; привлекает  в  установленном  порядке  к  работе  для  изучения,  анализа  и обобщения поступающих в Комиссию документов и иных материалов специалистов и независимых экспертов. Председатель – Ирина Анатольевна Яровая.</w:t>
      </w:r>
    </w:p>
    <w:p w:rsidR="005D569D" w:rsidRPr="00BA0B56" w:rsidRDefault="005D569D" w:rsidP="005D569D">
      <w:pPr>
        <w:spacing w:after="0" w:line="240" w:lineRule="auto"/>
        <w:ind w:firstLine="709"/>
        <w:jc w:val="both"/>
        <w:rPr>
          <w:rFonts w:ascii="Times New Roman" w:hAnsi="Times New Roman" w:cs="Times New Roman"/>
          <w:sz w:val="28"/>
          <w:szCs w:val="28"/>
        </w:rPr>
      </w:pP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b/>
          <w:bCs/>
          <w:sz w:val="28"/>
          <w:szCs w:val="28"/>
        </w:rPr>
      </w:pPr>
      <w:r w:rsidRPr="00BA0B56">
        <w:rPr>
          <w:rFonts w:ascii="Times New Roman" w:hAnsi="Times New Roman" w:cs="Times New Roman"/>
          <w:b/>
          <w:bCs/>
          <w:sz w:val="28"/>
          <w:szCs w:val="28"/>
        </w:rPr>
        <w:t>Положительная практика участия организаций в коллективных инициативах в области предупреждения коррупции</w:t>
      </w:r>
    </w:p>
    <w:p w:rsidR="005D569D" w:rsidRPr="00BA0B56" w:rsidRDefault="005D569D" w:rsidP="005D569D">
      <w:pPr>
        <w:spacing w:after="0" w:line="240" w:lineRule="auto"/>
        <w:ind w:firstLine="709"/>
        <w:jc w:val="both"/>
        <w:rPr>
          <w:rFonts w:ascii="Times New Roman" w:hAnsi="Times New Roman" w:cs="Times New Roman"/>
          <w:sz w:val="28"/>
          <w:szCs w:val="28"/>
        </w:rPr>
      </w:pPr>
      <w:proofErr w:type="gramStart"/>
      <w:r w:rsidRPr="00BA0B56">
        <w:rPr>
          <w:rFonts w:ascii="Times New Roman" w:hAnsi="Times New Roman" w:cs="Times New Roman"/>
          <w:sz w:val="28"/>
          <w:szCs w:val="28"/>
        </w:rPr>
        <w:t xml:space="preserve">На основании пунктов 1 и 2 Комплекса мер Минтрудом России проведены мониторинг участия представителей предпринимательского сообщества (далее - предприниматели) в части противодействия коррупции в рамках коллегиальных органов, образованных при государственных органах, или в ином формате, а также мониторинг функционирующих специализированных коллегиальных органов, созданных при государственных органах или организациях, на которых осуществляется </w:t>
      </w:r>
      <w:r w:rsidRPr="00BA0B56">
        <w:rPr>
          <w:rFonts w:ascii="Times New Roman" w:hAnsi="Times New Roman" w:cs="Times New Roman"/>
          <w:sz w:val="28"/>
          <w:szCs w:val="28"/>
        </w:rPr>
        <w:lastRenderedPageBreak/>
        <w:t>взаимодействие органов государственной власти и предпринимательского сообщества по вопросам противодействия</w:t>
      </w:r>
      <w:proofErr w:type="gramEnd"/>
      <w:r w:rsidRPr="00BA0B56">
        <w:rPr>
          <w:rFonts w:ascii="Times New Roman" w:hAnsi="Times New Roman" w:cs="Times New Roman"/>
          <w:sz w:val="28"/>
          <w:szCs w:val="28"/>
        </w:rPr>
        <w:t xml:space="preserve"> коррупции (далее - мониторинги).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Результаты мониторингов свидетельствуют о том, что федеральные государственные органы преимущественно взаимодействуют с предпринимателями в следующих форматах: </w:t>
      </w: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рамках созданных коллегиальных органов;</w:t>
      </w: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рамках официальных мероприятий (конференции, форумы, круглые столы, семинары и т.д.);</w:t>
      </w:r>
    </w:p>
    <w:p w:rsidR="005D569D" w:rsidRPr="00BA0B56" w:rsidRDefault="005D569D" w:rsidP="005D569D">
      <w:pPr>
        <w:pStyle w:val="a3"/>
        <w:numPr>
          <w:ilvl w:val="0"/>
          <w:numId w:val="1"/>
        </w:numPr>
        <w:spacing w:after="0" w:line="240" w:lineRule="auto"/>
        <w:ind w:left="0" w:firstLine="709"/>
        <w:contextualSpacing w:val="0"/>
        <w:jc w:val="both"/>
        <w:rPr>
          <w:rFonts w:ascii="Times New Roman" w:hAnsi="Times New Roman" w:cs="Times New Roman"/>
          <w:sz w:val="28"/>
          <w:szCs w:val="28"/>
        </w:rPr>
      </w:pPr>
      <w:proofErr w:type="gramStart"/>
      <w:r w:rsidRPr="00BA0B56">
        <w:rPr>
          <w:rFonts w:ascii="Times New Roman" w:hAnsi="Times New Roman" w:cs="Times New Roman"/>
          <w:sz w:val="28"/>
          <w:szCs w:val="28"/>
        </w:rPr>
        <w:t>в иных форматах мероприятий (деловые игры, социологические исследования, анкетирования, опросы, консультирование, конкурсы, бизнес-завтраки и т.п.).</w:t>
      </w:r>
      <w:proofErr w:type="gramEnd"/>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 свою очередь, государственные органы субъектов Российской Федерации активнее взаимодействуют с предпринимателями. При этом форматы взаимодействия схожи и предполагают обмен мнениями:</w:t>
      </w:r>
    </w:p>
    <w:p w:rsidR="005D569D" w:rsidRPr="00BA0B56" w:rsidRDefault="005D569D" w:rsidP="005D569D">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в рамках коллегиальных органов;</w:t>
      </w:r>
    </w:p>
    <w:p w:rsidR="005D569D" w:rsidRPr="00BA0B56" w:rsidRDefault="005D569D" w:rsidP="005D569D">
      <w:pPr>
        <w:pStyle w:val="a3"/>
        <w:numPr>
          <w:ilvl w:val="0"/>
          <w:numId w:val="4"/>
        </w:numPr>
        <w:spacing w:after="0" w:line="240" w:lineRule="auto"/>
        <w:ind w:left="0" w:firstLine="709"/>
        <w:contextualSpacing w:val="0"/>
        <w:jc w:val="both"/>
        <w:rPr>
          <w:rFonts w:ascii="Times New Roman" w:hAnsi="Times New Roman" w:cs="Times New Roman"/>
          <w:sz w:val="28"/>
          <w:szCs w:val="28"/>
        </w:rPr>
      </w:pPr>
      <w:r w:rsidRPr="00BA0B56">
        <w:rPr>
          <w:rFonts w:ascii="Times New Roman" w:hAnsi="Times New Roman" w:cs="Times New Roman"/>
          <w:sz w:val="28"/>
          <w:szCs w:val="28"/>
        </w:rPr>
        <w:t>при проведении мероприятий, посвященных проблемам противодействия коррупции в частном секторе.</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Менее распространенной практикой, но при этом имеющей определенные преимущества, является участие представителей федеральных государственных органов и органов субъектов Российской Федерации по профилактике коррупционных и иных правонарушений в инициативно созданных предпринимателями коллегиях, рабочих группах и иных объединениях по вопросам противодействия коррупции.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Вместе с тем, как показали результаты IX этапа исследования Торгово-промышленной палаты Российской Федерации "Бизнес-барометр коррупции", около половины предпринимателей либо не знают о существовании в субъектах Российской Федерации органов по профилактике коррупционных и иных правонарушений, либо затрудняются ответить, влияет ли их деятельность на снижение коррупции в регионе.</w:t>
      </w:r>
    </w:p>
    <w:p w:rsidR="005D569D" w:rsidRPr="00BA0B56" w:rsidRDefault="005D569D" w:rsidP="005D569D">
      <w:pPr>
        <w:spacing w:after="0" w:line="240" w:lineRule="auto"/>
        <w:ind w:firstLine="709"/>
        <w:jc w:val="both"/>
        <w:rPr>
          <w:rFonts w:ascii="Times New Roman" w:hAnsi="Times New Roman" w:cs="Times New Roman"/>
          <w:sz w:val="28"/>
          <w:szCs w:val="28"/>
        </w:rPr>
      </w:pP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При этом согласно результатам проведенных мониторингов предприниматели редко приглашались для участия в соответствующих мероприятиях, проводимых органами публичной власти.</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Невысокий уровень осведомленности предпринимательского сообщества и недостаточное вовлечение не способствуют формированию положительного восприятия проводимой органами публичной власти антикоррупционной работы. </w:t>
      </w:r>
      <w:proofErr w:type="gramStart"/>
      <w:r w:rsidRPr="00BA0B56">
        <w:rPr>
          <w:rFonts w:ascii="Times New Roman" w:hAnsi="Times New Roman" w:cs="Times New Roman"/>
          <w:sz w:val="28"/>
          <w:szCs w:val="28"/>
        </w:rPr>
        <w:t xml:space="preserve">В то же время выработка совместных решений по имеющимся проблемам, формирование единых позиций по отдельным вопросам, учет экспертного мнения предпринимателей, непосредственно сталкивающихся с проявлениями коррупции, обмен опытом, в том числе для целей внедрения передовых практик в антикоррупционную работу организаций, созданных для выполнения задач, поставленных перед государственными органами, способствуют повышению инвестиционной привлекательности субъекта Российской Федерации, на территории которого </w:t>
      </w:r>
      <w:r w:rsidRPr="00BA0B56">
        <w:rPr>
          <w:rFonts w:ascii="Times New Roman" w:hAnsi="Times New Roman" w:cs="Times New Roman"/>
          <w:sz w:val="28"/>
          <w:szCs w:val="28"/>
        </w:rPr>
        <w:lastRenderedPageBreak/>
        <w:t>соответствующее взаимодействие между</w:t>
      </w:r>
      <w:proofErr w:type="gramEnd"/>
      <w:r w:rsidRPr="00BA0B56">
        <w:rPr>
          <w:rFonts w:ascii="Times New Roman" w:hAnsi="Times New Roman" w:cs="Times New Roman"/>
          <w:sz w:val="28"/>
          <w:szCs w:val="28"/>
        </w:rPr>
        <w:t xml:space="preserve"> представителями органов публичной власти и предпринимателями организовано, а также способствуют повышению эффективности осуществляемых мер по противодействию коррупции.</w:t>
      </w:r>
    </w:p>
    <w:p w:rsidR="005D569D" w:rsidRPr="00BA0B56" w:rsidRDefault="005D569D" w:rsidP="005D569D">
      <w:pPr>
        <w:spacing w:after="0" w:line="240" w:lineRule="auto"/>
        <w:ind w:firstLine="709"/>
        <w:jc w:val="both"/>
        <w:rPr>
          <w:rFonts w:ascii="Times New Roman" w:hAnsi="Times New Roman" w:cs="Times New Roman"/>
          <w:sz w:val="28"/>
          <w:szCs w:val="28"/>
        </w:rPr>
      </w:pP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Стоит отметить, что имеющийся опыт организации подобного взаимодействия положительно оценивается органами публичной власти Санкт-Петербурга, Республики Коми, Республики Татарстан, Свердловской, Орловской, Курганской, Московской областей.</w:t>
      </w:r>
    </w:p>
    <w:p w:rsidR="005D569D" w:rsidRPr="00BA0B56" w:rsidRDefault="005D569D" w:rsidP="005D569D">
      <w:pPr>
        <w:spacing w:after="0" w:line="240" w:lineRule="auto"/>
        <w:ind w:firstLine="709"/>
        <w:jc w:val="both"/>
        <w:rPr>
          <w:rFonts w:ascii="Times New Roman" w:hAnsi="Times New Roman" w:cs="Times New Roman"/>
          <w:sz w:val="28"/>
          <w:szCs w:val="28"/>
        </w:rPr>
      </w:pPr>
    </w:p>
    <w:p w:rsidR="005D569D" w:rsidRPr="00BA0B56" w:rsidRDefault="005D569D" w:rsidP="005D569D">
      <w:pPr>
        <w:spacing w:after="0" w:line="240" w:lineRule="auto"/>
        <w:ind w:firstLine="709"/>
        <w:jc w:val="both"/>
        <w:rPr>
          <w:rFonts w:ascii="Times New Roman" w:hAnsi="Times New Roman" w:cs="Times New Roman"/>
          <w:sz w:val="28"/>
          <w:szCs w:val="28"/>
        </w:rPr>
      </w:pPr>
      <w:proofErr w:type="gramStart"/>
      <w:r w:rsidRPr="00BA0B56">
        <w:rPr>
          <w:rFonts w:ascii="Times New Roman" w:hAnsi="Times New Roman" w:cs="Times New Roman"/>
          <w:sz w:val="28"/>
          <w:szCs w:val="28"/>
        </w:rPr>
        <w:t>В указанных обстоятельствах орган публичной власти может самостоятельно и инициативно с учетом ведомственной специфики разработать механизмы эффективного вовлечения предпринимателей в совместную деятельность по противодействию коррупции, например, создать коллегиальный орган, провести ряд мероприятий, посвященных актуальным для предпринимателей темам, в том числе касающимся принимаемых мер по выявлению причин и условий, порождающих коррупцию и создающих административные барьеры для предпринимательской деятельности.</w:t>
      </w:r>
      <w:proofErr w:type="gramEnd"/>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Исходя из представленных данных, эффективность взаимодействия </w:t>
      </w:r>
      <w:proofErr w:type="gramStart"/>
      <w:r w:rsidRPr="00BA0B56">
        <w:rPr>
          <w:rFonts w:ascii="Times New Roman" w:hAnsi="Times New Roman" w:cs="Times New Roman"/>
          <w:sz w:val="28"/>
          <w:szCs w:val="28"/>
        </w:rPr>
        <w:t>обеспечивается</w:t>
      </w:r>
      <w:proofErr w:type="gramEnd"/>
      <w:r w:rsidRPr="00BA0B56">
        <w:rPr>
          <w:rFonts w:ascii="Times New Roman" w:hAnsi="Times New Roman" w:cs="Times New Roman"/>
          <w:sz w:val="28"/>
          <w:szCs w:val="28"/>
        </w:rPr>
        <w:t xml:space="preserve"> в том числе привлечением к участию в работе коллегиальных антикоррупционных органов уполномоченных по защите прав предпринимателей, региональных объединений работодателей и иных общественных организаций, добросовестно занимающихся вопросами противодействия коррупции. В рамках указанного взаимодействия отмечается достаточно активное обсуждение актуальных проблем и осуществляется совместная проработка возможных их решений, а также предоставляются конструктивные предложения и инициативы по повышению эффективности антикоррупционной работы.</w:t>
      </w:r>
    </w:p>
    <w:p w:rsidR="005D569D" w:rsidRPr="00BA0B56" w:rsidRDefault="005D569D" w:rsidP="005D569D">
      <w:pPr>
        <w:spacing w:after="0" w:line="240" w:lineRule="auto"/>
        <w:ind w:firstLine="709"/>
        <w:jc w:val="both"/>
        <w:rPr>
          <w:rFonts w:ascii="Times New Roman" w:hAnsi="Times New Roman" w:cs="Times New Roman"/>
          <w:sz w:val="28"/>
          <w:szCs w:val="28"/>
        </w:rPr>
      </w:pPr>
      <w:r w:rsidRPr="00BA0B56">
        <w:rPr>
          <w:rFonts w:ascii="Times New Roman" w:hAnsi="Times New Roman" w:cs="Times New Roman"/>
          <w:sz w:val="28"/>
          <w:szCs w:val="28"/>
        </w:rPr>
        <w:t xml:space="preserve">Кроме того, мониторинги показали наличие положительной практики непосредственного участия представителей органов публичной власти в инициативно созданных предпринимателями коллегиях, рабочих группах и иных объединениях по вопросам противодействия коррупции. </w:t>
      </w:r>
      <w:proofErr w:type="gramStart"/>
      <w:r w:rsidRPr="00BA0B56">
        <w:rPr>
          <w:rFonts w:ascii="Times New Roman" w:hAnsi="Times New Roman" w:cs="Times New Roman"/>
          <w:sz w:val="28"/>
          <w:szCs w:val="28"/>
        </w:rPr>
        <w:t>В частности, например, представители органов публичной власти Московской области и Республики Татарстан принимают участие в работе предпринимательских объединений, основными задачами которых являются защита предпринимателей от коррупционных действий со стороны должностных лиц, а представители органов публичной власти Санкт-Петербурга принимают участие в работе предпринимательского объединения, целью которого является рассмотрение обращений предпринимателей и информирование о фактах коррупционного давления на бизнес со стороны представителей</w:t>
      </w:r>
      <w:proofErr w:type="gramEnd"/>
      <w:r w:rsidRPr="00BA0B56">
        <w:rPr>
          <w:rFonts w:ascii="Times New Roman" w:hAnsi="Times New Roman" w:cs="Times New Roman"/>
          <w:sz w:val="28"/>
          <w:szCs w:val="28"/>
        </w:rPr>
        <w:t xml:space="preserve"> органов государственной власти.</w:t>
      </w:r>
    </w:p>
    <w:p w:rsidR="005D569D" w:rsidRDefault="005D569D" w:rsidP="005D569D"/>
    <w:p w:rsidR="00B86C84" w:rsidRDefault="00B86C84">
      <w:bookmarkStart w:id="0" w:name="_GoBack"/>
      <w:bookmarkEnd w:id="0"/>
    </w:p>
    <w:sectPr w:rsidR="00B86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D5E"/>
    <w:multiLevelType w:val="hybridMultilevel"/>
    <w:tmpl w:val="26725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7B729B"/>
    <w:multiLevelType w:val="hybridMultilevel"/>
    <w:tmpl w:val="0256E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EC3002"/>
    <w:multiLevelType w:val="hybridMultilevel"/>
    <w:tmpl w:val="6B66C2FA"/>
    <w:lvl w:ilvl="0" w:tplc="7904237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ED20355"/>
    <w:multiLevelType w:val="hybridMultilevel"/>
    <w:tmpl w:val="687A7682"/>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9D"/>
    <w:rsid w:val="005D569D"/>
    <w:rsid w:val="00B86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69D"/>
    <w:pPr>
      <w:ind w:left="720"/>
      <w:contextualSpacing/>
    </w:pPr>
  </w:style>
  <w:style w:type="character" w:styleId="a4">
    <w:name w:val="Hyperlink"/>
    <w:basedOn w:val="a0"/>
    <w:uiPriority w:val="99"/>
    <w:unhideWhenUsed/>
    <w:rsid w:val="005D56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6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569D"/>
    <w:pPr>
      <w:ind w:left="720"/>
      <w:contextualSpacing/>
    </w:pPr>
  </w:style>
  <w:style w:type="character" w:styleId="a4">
    <w:name w:val="Hyperlink"/>
    <w:basedOn w:val="a0"/>
    <w:uiPriority w:val="99"/>
    <w:unhideWhenUsed/>
    <w:rsid w:val="005D5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por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oro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2681</Words>
  <Characters>15283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Розенко Станислав Вас.</dc:creator>
  <cp:lastModifiedBy>Розенко Станислав Вас.</cp:lastModifiedBy>
  <cp:revision>1</cp:revision>
  <dcterms:created xsi:type="dcterms:W3CDTF">2024-05-24T10:57:00Z</dcterms:created>
  <dcterms:modified xsi:type="dcterms:W3CDTF">2024-05-24T10:57:00Z</dcterms:modified>
</cp:coreProperties>
</file>