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jc w:val="center"/>
        <w:rPr>
          <w:rFonts w:eastAsia="Times New Roman" w:cs="Times New Roman"/>
          <w:b/>
          <w:bCs/>
          <w:color w:val="424242"/>
          <w:szCs w:val="24"/>
          <w:lang w:eastAsia="ru-RU"/>
        </w:rPr>
      </w:pPr>
      <w:r w:rsidRPr="00765168">
        <w:rPr>
          <w:rFonts w:cs="Times New Roman"/>
          <w:b/>
          <w:sz w:val="28"/>
        </w:rPr>
        <w:t>Тема 2 «Деление подвижного состава на технологические группы»</w:t>
      </w:r>
    </w:p>
    <w:p w:rsid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b/>
          <w:bCs/>
          <w:color w:val="424242"/>
          <w:szCs w:val="24"/>
          <w:lang w:eastAsia="ru-RU"/>
        </w:rPr>
      </w:pP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b/>
          <w:bCs/>
          <w:color w:val="424242"/>
          <w:szCs w:val="24"/>
          <w:lang w:eastAsia="ru-RU"/>
        </w:rPr>
        <w:t>Нормативы трудоемкости технического обслуживания и ремонта подвижного состава автомобильного транспорта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Исходные нормативы рассчитаны на полное или частичное сочетание следующих условий: первая категория условий эксплуатации; базовые модели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автомобилей; на автотранспортном предприятии выполняется ТО и ремонт 200...300 ед. подвижного состава, составляющих три технологически совместимые группы; пробег с начала эксплуатации составляет 50...75 % от пробега до КР; подвижной состав работает в умеренном климатическом районе; оснащение АТП средствами механизации — согласно Табелю технологического оборудования.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 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Таблица 3.4</w:t>
      </w:r>
    </w:p>
    <w:tbl>
      <w:tblPr>
        <w:tblStyle w:val="a5"/>
        <w:tblW w:w="0" w:type="auto"/>
        <w:tblLook w:val="04A0"/>
      </w:tblPr>
      <w:tblGrid>
        <w:gridCol w:w="5207"/>
        <w:gridCol w:w="5214"/>
      </w:tblGrid>
      <w:tr w:rsidR="00765168" w:rsidRPr="00765168" w:rsidTr="00765168"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Подвижной состав (выпуска после 1972 г.)</w:t>
            </w:r>
          </w:p>
        </w:tc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Простой</w:t>
            </w:r>
          </w:p>
        </w:tc>
      </w:tr>
      <w:tr w:rsidR="00765168" w:rsidRPr="00765168" w:rsidTr="00765168"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ТО и ТР на автотранспортном предприятии, дней/1000 км.</w:t>
            </w:r>
          </w:p>
        </w:tc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КР на специализированном ремонтном предприятии, дней</w:t>
            </w:r>
          </w:p>
        </w:tc>
      </w:tr>
      <w:tr w:rsidR="00765168" w:rsidRPr="00765168" w:rsidTr="00765168"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Легковые автомобили</w:t>
            </w:r>
          </w:p>
        </w:tc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0,30…0,40</w:t>
            </w:r>
          </w:p>
        </w:tc>
      </w:tr>
      <w:tr w:rsidR="00765168" w:rsidRPr="00765168" w:rsidTr="00765168"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Автобусы особо малого, малого и среднего классов</w:t>
            </w:r>
          </w:p>
        </w:tc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0,30…0,50</w:t>
            </w:r>
          </w:p>
        </w:tc>
      </w:tr>
      <w:tr w:rsidR="00765168" w:rsidRPr="00765168" w:rsidTr="00765168"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Автобусы большого класса</w:t>
            </w:r>
          </w:p>
        </w:tc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0,50…0,55</w:t>
            </w:r>
          </w:p>
        </w:tc>
      </w:tr>
      <w:tr w:rsidR="00765168" w:rsidRPr="00765168" w:rsidTr="00765168"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Грузовые автомобили грузоподъемностью, т:</w:t>
            </w:r>
          </w:p>
        </w:tc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</w:tr>
      <w:tr w:rsidR="00765168" w:rsidRPr="00765168" w:rsidTr="00765168"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0,3…5,0</w:t>
            </w:r>
          </w:p>
        </w:tc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0,40…0,50</w:t>
            </w:r>
          </w:p>
        </w:tc>
      </w:tr>
      <w:tr w:rsidR="00765168" w:rsidRPr="00765168" w:rsidTr="00765168"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5,0 и более</w:t>
            </w:r>
          </w:p>
        </w:tc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0,50…0,55</w:t>
            </w:r>
          </w:p>
        </w:tc>
      </w:tr>
      <w:tr w:rsidR="00765168" w:rsidRPr="00765168" w:rsidTr="00765168"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Прицепы и полуприцепы</w:t>
            </w:r>
          </w:p>
        </w:tc>
        <w:tc>
          <w:tcPr>
            <w:tcW w:w="0" w:type="auto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0,10…0,15</w:t>
            </w:r>
          </w:p>
        </w:tc>
      </w:tr>
    </w:tbl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 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В приведенных нормативах трудоемкость ЕО включает трудоемкость ручных уборочных и моечных работ. При применении механизированных моечных установок трудоемкость ЕО, установленная Положением, должна быть уменьшена за счет исключения из общей трудоемкости ЕО моечных работ, связанных с применением ручного труда.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lastRenderedPageBreak/>
        <w:t>Нормативы ТО-1 и ТО-2 не включают трудоемкость ЕО. Трудоемкость дополнительных работ СО к трудоемкости ТО-2 составляет 50 % — для очень холодного и очень жаркого сухого климатических районов, 30 % — для холодного и жаркого сухого районов, 20 % — для прочих районов.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Нормативы не учитывают трудовых затрат на вспомогательные работы, которые устанавливают в пределах не более 30 % к суммарной трудоемкости ТО и ТР по автотранспортному предприятию.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 xml:space="preserve">В состав вспомогательных работ входят: обслуживание и ремонт оборудования и инструментов; транспортные и </w:t>
      </w:r>
      <w:proofErr w:type="spellStart"/>
      <w:r w:rsidRPr="00765168">
        <w:rPr>
          <w:rFonts w:eastAsia="Times New Roman" w:cs="Times New Roman"/>
          <w:color w:val="424242"/>
          <w:szCs w:val="24"/>
          <w:lang w:eastAsia="ru-RU"/>
        </w:rPr>
        <w:t>погрузочно</w:t>
      </w:r>
      <w:proofErr w:type="spellEnd"/>
      <w:r w:rsidRPr="00765168">
        <w:rPr>
          <w:rFonts w:eastAsia="Times New Roman" w:cs="Times New Roman"/>
          <w:color w:val="424242"/>
          <w:szCs w:val="24"/>
          <w:lang w:eastAsia="ru-RU"/>
        </w:rPr>
        <w:t xml:space="preserve"> – разгрузочные работы, связанные с обслуживанием и ремонтом подвижного состава; перегон автомобилей внутри предприятий; хранение, приемка и выдача материальных ценностей; уборка производственных помещений, связанных с ТО и ремонтом подвижного состава.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b/>
          <w:bCs/>
          <w:color w:val="424242"/>
          <w:szCs w:val="24"/>
          <w:lang w:eastAsia="ru-RU"/>
        </w:rPr>
        <w:t>Таблица 3.5</w:t>
      </w:r>
    </w:p>
    <w:tbl>
      <w:tblPr>
        <w:tblW w:w="0" w:type="auto"/>
        <w:tblCellSpacing w:w="15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4"/>
        <w:gridCol w:w="3095"/>
        <w:gridCol w:w="2373"/>
        <w:gridCol w:w="1336"/>
      </w:tblGrid>
      <w:tr w:rsidR="00765168" w:rsidRPr="00765168" w:rsidTr="00765168">
        <w:trPr>
          <w:gridAfter w:val="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Категория условий эксплуатации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Условия движения</w:t>
            </w:r>
          </w:p>
        </w:tc>
      </w:tr>
      <w:tr w:rsidR="00765168" w:rsidRPr="00765168" w:rsidTr="0076516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 xml:space="preserve">за пределами </w:t>
            </w:r>
            <w:proofErr w:type="spellStart"/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пригородской</w:t>
            </w:r>
            <w:proofErr w:type="spellEnd"/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 xml:space="preserve"> зоны (более 50 км. от границы города)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в малых городах (до 100 тыс. жителей) и в пригородной зоне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В больших городах (более 100 тыс. жителей)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-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1 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-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-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D3 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4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lastRenderedPageBreak/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D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6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–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1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4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 P</w:t>
            </w:r>
            <w:r w:rsidRPr="00765168">
              <w:rPr>
                <w:rFonts w:eastAsia="Times New Roman" w:cs="Times New Roman"/>
                <w:color w:val="424242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</w:tr>
    </w:tbl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 </w:t>
      </w:r>
    </w:p>
    <w:p w:rsidR="00765168" w:rsidRPr="00765168" w:rsidRDefault="00765168" w:rsidP="00765168">
      <w:pPr>
        <w:shd w:val="clear" w:color="auto" w:fill="FFFFFF"/>
        <w:ind w:firstLine="0"/>
        <w:jc w:val="center"/>
        <w:rPr>
          <w:rFonts w:eastAsia="Times New Roman" w:cs="Times New Roman"/>
          <w:color w:val="424242"/>
          <w:szCs w:val="24"/>
          <w:lang w:eastAsia="ru-RU"/>
        </w:rPr>
      </w:pPr>
    </w:p>
    <w:p w:rsidR="00765168" w:rsidRPr="00765168" w:rsidRDefault="00765168" w:rsidP="00765168">
      <w:pPr>
        <w:shd w:val="clear" w:color="auto" w:fill="FFFFFF"/>
        <w:ind w:firstLine="0"/>
        <w:jc w:val="center"/>
        <w:rPr>
          <w:rFonts w:eastAsia="Times New Roman" w:cs="Times New Roman"/>
          <w:color w:val="424242"/>
          <w:szCs w:val="24"/>
          <w:lang w:eastAsia="ru-RU"/>
        </w:rPr>
      </w:pP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Исходные нормативы уточняют во второй части Положения по семейству автомобилей и корректируют с учетом условий эксплуатации 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b/>
          <w:bCs/>
          <w:color w:val="424242"/>
          <w:szCs w:val="24"/>
          <w:lang w:eastAsia="ru-RU"/>
        </w:rPr>
        <w:t>Корректирование нормативов.</w:t>
      </w:r>
      <w:r w:rsidRPr="00765168">
        <w:rPr>
          <w:rFonts w:eastAsia="Times New Roman" w:cs="Times New Roman"/>
          <w:color w:val="424242"/>
          <w:szCs w:val="24"/>
          <w:lang w:eastAsia="ru-RU"/>
        </w:rPr>
        <w:t> Автотранспортным предприятиям и территориальным объединениям автотранспорта предоставлено право на корректирование нормативов ТО и ремонта путем изменения количественного значения этих нормативов при работе подвижного состава в условиях, отличающихся от тех, которые приняты для исходных нормативов, с учетом конкретных условий эксплуатации: ресурсные (на общесоюзном, отраслевом и внутриотраслевом уровнях) — для создания автотранспортным предприятиям сопоставимых условий работы; оперативные (на внутриотраслевом и хозяйственном уровнях) — для обеспечения эффективного использования на АТП трудовых и материальных ресурсов.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Корректирование производят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изменением количественного значения нормативов ТО, перечня операций ТО; соотношения между объемами работ ТО и ремонта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за счет включения в ТО характерных, часто повторяющихся операций ТР.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Корректирование нормативов ТО и ремонта подвижного состава в зависимости от условий эксплуатации осуществляется в соответствии с их классификацией (табл. 3.5), которая включает пять категорий условий эксплуатации. Категория условий эксплуатации автомобилей характеризуется типом дорожного покрытия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D,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типом рельефа местности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Р,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по которой пролегает дорога, и условиями движения.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Определено шесть типов (материалов) дорожного покрытия: D</w:t>
      </w:r>
      <w:r w:rsidRPr="00765168">
        <w:rPr>
          <w:rFonts w:eastAsia="Times New Roman" w:cs="Times New Roman"/>
          <w:color w:val="424242"/>
          <w:szCs w:val="24"/>
          <w:vertAlign w:val="subscript"/>
          <w:lang w:eastAsia="ru-RU"/>
        </w:rPr>
        <w:t>1</w:t>
      </w:r>
      <w:r w:rsidRPr="00765168">
        <w:rPr>
          <w:rFonts w:eastAsia="Times New Roman" w:cs="Times New Roman"/>
          <w:color w:val="424242"/>
          <w:szCs w:val="24"/>
          <w:lang w:eastAsia="ru-RU"/>
        </w:rPr>
        <w:t xml:space="preserve"> — </w:t>
      </w:r>
      <w:proofErr w:type="spellStart"/>
      <w:r w:rsidRPr="00765168">
        <w:rPr>
          <w:rFonts w:eastAsia="Times New Roman" w:cs="Times New Roman"/>
          <w:color w:val="424242"/>
          <w:szCs w:val="24"/>
          <w:lang w:eastAsia="ru-RU"/>
        </w:rPr>
        <w:t>цементобетон</w:t>
      </w:r>
      <w:proofErr w:type="spellEnd"/>
      <w:r w:rsidRPr="00765168">
        <w:rPr>
          <w:rFonts w:eastAsia="Times New Roman" w:cs="Times New Roman"/>
          <w:color w:val="424242"/>
          <w:szCs w:val="24"/>
          <w:lang w:eastAsia="ru-RU"/>
        </w:rPr>
        <w:t>, асфальтобетон, брусчатка, мозаика; D</w:t>
      </w:r>
      <w:r w:rsidRPr="00765168">
        <w:rPr>
          <w:rFonts w:eastAsia="Times New Roman" w:cs="Times New Roman"/>
          <w:color w:val="424242"/>
          <w:szCs w:val="24"/>
          <w:vertAlign w:val="subscript"/>
          <w:lang w:eastAsia="ru-RU"/>
        </w:rPr>
        <w:t>2</w:t>
      </w:r>
      <w:r w:rsidRPr="00765168">
        <w:rPr>
          <w:rFonts w:eastAsia="Times New Roman" w:cs="Times New Roman"/>
          <w:color w:val="424242"/>
          <w:szCs w:val="24"/>
          <w:lang w:eastAsia="ru-RU"/>
        </w:rPr>
        <w:t> — битумоминеральные смеси (щебень или гравий, обработанные битумом); D</w:t>
      </w:r>
      <w:r w:rsidRPr="00765168">
        <w:rPr>
          <w:rFonts w:eastAsia="Times New Roman" w:cs="Times New Roman"/>
          <w:color w:val="424242"/>
          <w:szCs w:val="24"/>
          <w:vertAlign w:val="subscript"/>
          <w:lang w:eastAsia="ru-RU"/>
        </w:rPr>
        <w:t>3</w:t>
      </w:r>
      <w:r w:rsidRPr="00765168">
        <w:rPr>
          <w:rFonts w:eastAsia="Times New Roman" w:cs="Times New Roman"/>
          <w:color w:val="424242"/>
          <w:szCs w:val="24"/>
          <w:lang w:eastAsia="ru-RU"/>
        </w:rPr>
        <w:t> — щебень (гравий) без обработки, дегтебетон; D</w:t>
      </w:r>
      <w:r w:rsidRPr="00765168">
        <w:rPr>
          <w:rFonts w:eastAsia="Times New Roman" w:cs="Times New Roman"/>
          <w:color w:val="424242"/>
          <w:szCs w:val="24"/>
          <w:vertAlign w:val="subscript"/>
          <w:lang w:eastAsia="ru-RU"/>
        </w:rPr>
        <w:t>4</w:t>
      </w:r>
      <w:r w:rsidRPr="00765168">
        <w:rPr>
          <w:rFonts w:eastAsia="Times New Roman" w:cs="Times New Roman"/>
          <w:color w:val="424242"/>
          <w:szCs w:val="24"/>
          <w:lang w:eastAsia="ru-RU"/>
        </w:rPr>
        <w:t xml:space="preserve"> — булыжник, колотый камень, грунт и </w:t>
      </w:r>
      <w:proofErr w:type="spellStart"/>
      <w:r w:rsidRPr="00765168">
        <w:rPr>
          <w:rFonts w:eastAsia="Times New Roman" w:cs="Times New Roman"/>
          <w:color w:val="424242"/>
          <w:szCs w:val="24"/>
          <w:lang w:eastAsia="ru-RU"/>
        </w:rPr>
        <w:t>малопрочный</w:t>
      </w:r>
      <w:proofErr w:type="spellEnd"/>
      <w:r w:rsidRPr="00765168">
        <w:rPr>
          <w:rFonts w:eastAsia="Times New Roman" w:cs="Times New Roman"/>
          <w:color w:val="424242"/>
          <w:szCs w:val="24"/>
          <w:lang w:eastAsia="ru-RU"/>
        </w:rPr>
        <w:t xml:space="preserve"> камень, обработанные вяжущими </w:t>
      </w:r>
      <w:r w:rsidRPr="00765168">
        <w:rPr>
          <w:rFonts w:eastAsia="Times New Roman" w:cs="Times New Roman"/>
          <w:color w:val="424242"/>
          <w:szCs w:val="24"/>
          <w:lang w:eastAsia="ru-RU"/>
        </w:rPr>
        <w:lastRenderedPageBreak/>
        <w:t>материалами, зимники; D</w:t>
      </w:r>
      <w:r w:rsidRPr="00765168">
        <w:rPr>
          <w:rFonts w:eastAsia="Times New Roman" w:cs="Times New Roman"/>
          <w:color w:val="424242"/>
          <w:szCs w:val="24"/>
          <w:vertAlign w:val="subscript"/>
          <w:lang w:eastAsia="ru-RU"/>
        </w:rPr>
        <w:t>5</w:t>
      </w:r>
      <w:r w:rsidRPr="00765168">
        <w:rPr>
          <w:rFonts w:eastAsia="Times New Roman" w:cs="Times New Roman"/>
          <w:color w:val="424242"/>
          <w:szCs w:val="24"/>
          <w:lang w:eastAsia="ru-RU"/>
        </w:rPr>
        <w:t> — грунт, укрепленный или улучшенный местными материалами, лежневые и бревенчатые покрытия; D</w:t>
      </w:r>
      <w:r w:rsidRPr="00765168">
        <w:rPr>
          <w:rFonts w:eastAsia="Times New Roman" w:cs="Times New Roman"/>
          <w:color w:val="424242"/>
          <w:szCs w:val="24"/>
          <w:vertAlign w:val="subscript"/>
          <w:lang w:eastAsia="ru-RU"/>
        </w:rPr>
        <w:t>6</w:t>
      </w:r>
      <w:r w:rsidRPr="00765168">
        <w:rPr>
          <w:rFonts w:eastAsia="Times New Roman" w:cs="Times New Roman"/>
          <w:color w:val="424242"/>
          <w:szCs w:val="24"/>
          <w:lang w:eastAsia="ru-RU"/>
        </w:rPr>
        <w:t> — естественные грунтовые дороги, временные внутрикарьерные и отвальные дороги, подъездные пути, не имеющие твердого покрытия.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Исходные нормативы, регламентирующие ТО и ремонт подвижного состава, с целью обеспечения высокой эксплуатационной надежности автомобилей, повышения производительности труда ремонтно-обслуживающих рабочих и сокращения затрат на ТО и ремонт подвижного состава уточняют применительно к конкретным автомобилям и корректируют с помощью коэффициентов в зависимости от следующих факторов: условий эксплуатации автомобилей —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1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,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модификации подвижного состава и организации его работы —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2</w:t>
      </w:r>
      <w:r w:rsidRPr="00765168">
        <w:rPr>
          <w:rFonts w:eastAsia="Times New Roman" w:cs="Times New Roman"/>
          <w:color w:val="424242"/>
          <w:szCs w:val="24"/>
          <w:lang w:eastAsia="ru-RU"/>
        </w:rPr>
        <w:t>; природно-климатических условий —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3</w:t>
      </w:r>
      <w:r w:rsidRPr="00765168">
        <w:rPr>
          <w:rFonts w:eastAsia="Times New Roman" w:cs="Times New Roman"/>
          <w:color w:val="424242"/>
          <w:szCs w:val="24"/>
          <w:lang w:eastAsia="ru-RU"/>
        </w:rPr>
        <w:t>; пробега с начала эксплуатации —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4</w:t>
      </w:r>
      <w:r w:rsidRPr="00765168">
        <w:rPr>
          <w:rFonts w:eastAsia="Times New Roman" w:cs="Times New Roman"/>
          <w:color w:val="424242"/>
          <w:szCs w:val="24"/>
          <w:lang w:eastAsia="ru-RU"/>
        </w:rPr>
        <w:t> и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К΄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4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размеров автотранспортного предприятия и количества технологически совместимых групп подвижного состава —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6.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Исходный коэффициент корректирования, равный 1,0, принимается: для I категории условий эксплуатации; базовых моделей автомобилей; умеренного климатического района с умеренной агрессивностью окружающей среды; пробега подвижного состава с начала эксплуатации, равного 50...75 % от пробега до КР; АТП, на которых производится ТО и ремонт 200...300 ед. подвижного состава, составляющих три технологически совместимые группы (табл. 3.6).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Технологически совместимая группа включает автомобили, конструкция которых позволяет использовать одни и те же посты и оборудование для ТО и ремонта. Организация работ и выбор оборудования для ТО и ремонта автомобилей внутри каждой технологически совместимой группы осуществляется с учетом производственной программы. Специальные или специализированные автомобили (за исключением самосвалов и фургонов) объединяют в дополнительные технологически совместимые группы с учетом базовой модели автомобиля и сложности установленного на нем специального оборудования.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Результирующий коэффициент корректирования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нормативов получается перемножением отдельных коэффициентов: периодичность ТО —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1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3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;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пробег до КР —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1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К;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2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3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,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трудоемкость ТО —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2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5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;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трудоемкость ТР —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1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2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3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4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5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;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расход запасных частей —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1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K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2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K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3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Таблица 3.6</w:t>
      </w:r>
    </w:p>
    <w:tbl>
      <w:tblPr>
        <w:tblW w:w="0" w:type="auto"/>
        <w:tblCellSpacing w:w="15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8"/>
        <w:gridCol w:w="2694"/>
        <w:gridCol w:w="1130"/>
        <w:gridCol w:w="1031"/>
        <w:gridCol w:w="1281"/>
        <w:gridCol w:w="1294"/>
      </w:tblGrid>
      <w:tr w:rsidR="00765168" w:rsidRPr="00765168" w:rsidTr="00765168">
        <w:trPr>
          <w:gridAfter w:val="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Типы подвижного состава на автотранспортном предприятии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Технологически совместимые группы по типам и базовым маркам подвижного состава</w:t>
            </w:r>
          </w:p>
        </w:tc>
      </w:tr>
      <w:tr w:rsidR="00765168" w:rsidRPr="00765168" w:rsidTr="0076516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V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Автомобили: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легковые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АЗЛК, ИЖ, ВАЗ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ГАЗ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—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lastRenderedPageBreak/>
              <w:t>грузовые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ИЖ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 xml:space="preserve">УАЗ, </w:t>
            </w:r>
            <w:proofErr w:type="spellStart"/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ЕрАЗ</w:t>
            </w:r>
            <w:proofErr w:type="spellEnd"/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ГАЗ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ЗИЛ, КАЗ, Урал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МАЗ, КрАЗ, КамАЗ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Автобусы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РАФ,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ЛАЗ (</w:t>
            </w:r>
            <w:proofErr w:type="spellStart"/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карб</w:t>
            </w:r>
            <w:proofErr w:type="spellEnd"/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.),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ЛАЗ (</w:t>
            </w:r>
            <w:proofErr w:type="spellStart"/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диз</w:t>
            </w:r>
            <w:proofErr w:type="spellEnd"/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.)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УАЗ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proofErr w:type="spellStart"/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КАвЗ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proofErr w:type="spellStart"/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ЛиАЗ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</w:tr>
    </w:tbl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 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Примечания: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1. Технологически совместимая группа включает подвижной состав, конструкция которого позволяет использование одних и тех же постов и оборудования для ТО и ТР.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2. Организация работ и выбор оборудования для ТО и ремонта подвижного состава внутри каждой технологически совместимой группы осуществляются с учетом производственной программы.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 xml:space="preserve">3. Специальный и специализированный подвижной состав (за исключением автомобилей-самосвалов и </w:t>
      </w:r>
      <w:proofErr w:type="spellStart"/>
      <w:r w:rsidRPr="00765168">
        <w:rPr>
          <w:rFonts w:eastAsia="Times New Roman" w:cs="Times New Roman"/>
          <w:color w:val="424242"/>
          <w:szCs w:val="24"/>
          <w:lang w:eastAsia="ru-RU"/>
        </w:rPr>
        <w:t>автомобилей-фургоков</w:t>
      </w:r>
      <w:proofErr w:type="spellEnd"/>
      <w:r w:rsidRPr="00765168">
        <w:rPr>
          <w:rFonts w:eastAsia="Times New Roman" w:cs="Times New Roman"/>
          <w:color w:val="424242"/>
          <w:szCs w:val="24"/>
          <w:lang w:eastAsia="ru-RU"/>
        </w:rPr>
        <w:t>) формируется с учетом базовой модели автомобиля и сложности конструкции установленного на нем специального оборудования.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Результирующие коэффициенты корректирования нормативов периодичности ТО и пробега до КР должны быть не менее 0,5.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Значения коэффициентов корректирования (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1</w:t>
      </w:r>
      <w:r w:rsidRPr="00765168">
        <w:rPr>
          <w:rFonts w:eastAsia="Times New Roman" w:cs="Times New Roman"/>
          <w:color w:val="424242"/>
          <w:szCs w:val="24"/>
          <w:lang w:eastAsia="ru-RU"/>
        </w:rPr>
        <w:t> — в зависимости от условий эксплуатации;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2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— от модификации подвижного состава и организации его работы;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3</w:t>
      </w:r>
      <w:r w:rsidRPr="00765168">
        <w:rPr>
          <w:rFonts w:eastAsia="Times New Roman" w:cs="Times New Roman"/>
          <w:color w:val="424242"/>
          <w:szCs w:val="24"/>
          <w:lang w:eastAsia="ru-RU"/>
        </w:rPr>
        <w:t>,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К΄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3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, К΄΄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3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— от природно-климатических условий,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3 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=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К΄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3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К΄΄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3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;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4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, К΄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4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— от пробега с начала эксплуатации;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5</w:t>
      </w:r>
      <w:r w:rsidRPr="00765168">
        <w:rPr>
          <w:rFonts w:eastAsia="Times New Roman" w:cs="Times New Roman"/>
          <w:color w:val="424242"/>
          <w:szCs w:val="24"/>
          <w:lang w:eastAsia="ru-RU"/>
        </w:rPr>
        <w:t> — от количества обслуживаемых и ремонтируемых автомобилей и технологически совместимых групп подвижного состава) приведены в табл. 3.7...3.11.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Продолжительность простоя подвижного состава в ТО и ремонте планируют в соответствии с нормативами, приведенными в табл. 3.4, и корректируют умножением нормативов на коэффициент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К΄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4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(табл. 3.10), зависящий от пробега с начала эксплуатации.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b/>
          <w:bCs/>
          <w:color w:val="424242"/>
          <w:szCs w:val="24"/>
          <w:lang w:eastAsia="ru-RU"/>
        </w:rPr>
        <w:t>Таблица 3.7</w:t>
      </w:r>
    </w:p>
    <w:tbl>
      <w:tblPr>
        <w:tblW w:w="0" w:type="auto"/>
        <w:tblCellSpacing w:w="15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2917"/>
        <w:gridCol w:w="1541"/>
        <w:gridCol w:w="2087"/>
        <w:gridCol w:w="899"/>
      </w:tblGrid>
      <w:tr w:rsidR="00765168" w:rsidRPr="00765168" w:rsidTr="00765168">
        <w:trPr>
          <w:gridAfter w:val="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Категория условий эксплуатации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lang w:eastAsia="ru-RU"/>
              </w:rPr>
              <w:t>К</w:t>
            </w: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vertAlign w:val="subscript"/>
                <w:lang w:eastAsia="ru-RU"/>
              </w:rPr>
              <w:t>1 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для корректирования нормативов</w:t>
            </w:r>
          </w:p>
        </w:tc>
      </w:tr>
      <w:tr w:rsidR="00765168" w:rsidRPr="00765168" w:rsidTr="0076516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периодичности 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удельной трудоемкости 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пробега до КР*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расхода запасных частей **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lastRenderedPageBreak/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1,00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1,10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1,25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1,40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1,65</w:t>
            </w:r>
          </w:p>
        </w:tc>
      </w:tr>
    </w:tbl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 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* При корректировании нормы пробега до КР двигателя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1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принимается равным: 0,7 — для III категории условий эксплуатации; 0,6 — для IV категории; 0,5 — для V категории.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** Соответственно коэффициент 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К</w:t>
      </w:r>
      <w:r w:rsidRPr="00765168">
        <w:rPr>
          <w:rFonts w:eastAsia="Times New Roman" w:cs="Times New Roman"/>
          <w:i/>
          <w:iCs/>
          <w:color w:val="424242"/>
          <w:szCs w:val="24"/>
          <w:vertAlign w:val="subscript"/>
          <w:lang w:eastAsia="ru-RU"/>
        </w:rPr>
        <w:t>1</w:t>
      </w: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корректирования норм расхода запасных частей для двигателя составляет: 1,4 — для III категории условий эксплуатации; 1,65 — для IV категории; 2,0 — для V категории.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Примечание.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После определения с корректированной периодичностью ТО проверяется ее кратность между видами ТО с последующим округлением для целых сотен километров.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b/>
          <w:bCs/>
          <w:color w:val="424242"/>
          <w:szCs w:val="24"/>
          <w:lang w:eastAsia="ru-RU"/>
        </w:rPr>
        <w:t>Таблица 3.8</w:t>
      </w:r>
    </w:p>
    <w:tbl>
      <w:tblPr>
        <w:tblW w:w="0" w:type="auto"/>
        <w:tblCellSpacing w:w="15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6"/>
        <w:gridCol w:w="2772"/>
        <w:gridCol w:w="1858"/>
        <w:gridCol w:w="932"/>
      </w:tblGrid>
      <w:tr w:rsidR="00765168" w:rsidRPr="00765168" w:rsidTr="00765168">
        <w:trPr>
          <w:gridAfter w:val="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Модификация подвижного состава и организация его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lang w:eastAsia="ru-RU"/>
              </w:rPr>
              <w:t>К</w:t>
            </w: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vertAlign w:val="subscript"/>
                <w:lang w:eastAsia="ru-RU"/>
              </w:rPr>
              <w:t>2</w:t>
            </w: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lang w:eastAsia="ru-RU"/>
              </w:rPr>
              <w:t> 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для корректирования нормативов</w:t>
            </w:r>
          </w:p>
        </w:tc>
      </w:tr>
      <w:tr w:rsidR="00765168" w:rsidRPr="00765168" w:rsidTr="0076516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трудоемкости ТО и 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пробега до КР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расхода запасных частей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Базовый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1,00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Седельный тягач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1,05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Автомобили: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с одним прицепом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1,10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lastRenderedPageBreak/>
              <w:t>с двумя прицепами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1,20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Автомобили-самосвалы: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при работе на плечах свыше 5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1,20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с одним прицепом или при работе на коротких плечах (до 5 км)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1,25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с двумя прицепами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1,30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Специализированный подвижной состав (в зависимости от сложности оборудования)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1,10 1,20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— 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— —</w:t>
            </w:r>
          </w:p>
        </w:tc>
      </w:tr>
    </w:tbl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 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* Нормативы трудоемкости ТО и ТР специализированного подвижного состава уточняются во второй части Положения по конкретному семейству подвижного состава.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b/>
          <w:bCs/>
          <w:color w:val="424242"/>
          <w:szCs w:val="24"/>
          <w:lang w:eastAsia="ru-RU"/>
        </w:rPr>
        <w:t>Таблица 3.9</w:t>
      </w:r>
    </w:p>
    <w:tbl>
      <w:tblPr>
        <w:tblW w:w="0" w:type="auto"/>
        <w:tblCellSpacing w:w="15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4"/>
        <w:gridCol w:w="3202"/>
        <w:gridCol w:w="1318"/>
        <w:gridCol w:w="1541"/>
        <w:gridCol w:w="884"/>
        <w:gridCol w:w="539"/>
      </w:tblGrid>
      <w:tr w:rsidR="00765168" w:rsidRPr="00765168" w:rsidTr="00765168">
        <w:trPr>
          <w:gridAfter w:val="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Климатический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lang w:eastAsia="ru-RU"/>
              </w:rPr>
              <w:t>К΄</w:t>
            </w: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vertAlign w:val="subscript"/>
                <w:lang w:eastAsia="ru-RU"/>
              </w:rPr>
              <w:t>3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, </w:t>
            </w: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lang w:eastAsia="ru-RU"/>
              </w:rPr>
              <w:t>К΄΄</w:t>
            </w: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vertAlign w:val="subscript"/>
                <w:lang w:eastAsia="ru-RU"/>
              </w:rPr>
              <w:t>3 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корректирования нормативов</w:t>
            </w:r>
          </w:p>
        </w:tc>
      </w:tr>
      <w:tr w:rsidR="00765168" w:rsidRPr="00765168" w:rsidTr="00765168">
        <w:trPr>
          <w:gridAfter w:val="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периодичности 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удельной трудоемкости 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пробега до КР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расхода запасных частей</w:t>
            </w:r>
          </w:p>
        </w:tc>
      </w:tr>
      <w:tr w:rsidR="00765168" w:rsidRPr="00765168" w:rsidTr="00765168">
        <w:trPr>
          <w:gridAfter w:val="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lang w:eastAsia="ru-RU"/>
              </w:rPr>
              <w:t>КоэффициентК΄</w:t>
            </w: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65168" w:rsidRPr="00765168" w:rsidTr="0076516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Умеренный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</w:t>
            </w:r>
          </w:p>
        </w:tc>
      </w:tr>
      <w:tr w:rsidR="00765168" w:rsidRPr="00765168" w:rsidTr="0076516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Умеренно теплый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0,9</w:t>
            </w:r>
          </w:p>
        </w:tc>
      </w:tr>
      <w:tr w:rsidR="00765168" w:rsidRPr="00765168" w:rsidTr="0076516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Влажный, теплый влажный, жаркий сухой, очень жаркий сухой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1,1</w:t>
            </w:r>
          </w:p>
        </w:tc>
      </w:tr>
      <w:tr w:rsidR="00765168" w:rsidRPr="00765168" w:rsidTr="0076516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Умеренно холодный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1,1</w:t>
            </w:r>
          </w:p>
        </w:tc>
      </w:tr>
      <w:tr w:rsidR="00765168" w:rsidRPr="00765168" w:rsidTr="0076516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lastRenderedPageBreak/>
              <w:t>Холодный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1,25</w:t>
            </w:r>
          </w:p>
        </w:tc>
      </w:tr>
      <w:tr w:rsidR="00765168" w:rsidRPr="00765168" w:rsidTr="0076516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Очень холодный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1,4</w:t>
            </w:r>
          </w:p>
        </w:tc>
      </w:tr>
      <w:tr w:rsidR="00765168" w:rsidRPr="00765168" w:rsidTr="0076516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lang w:eastAsia="ru-RU"/>
              </w:rPr>
              <w:t>Коэффициент К΄΄</w:t>
            </w: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65168" w:rsidRPr="00765168" w:rsidTr="0076516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С высокой агрессивностью окружающей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1,1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</w:t>
            </w:r>
          </w:p>
        </w:tc>
      </w:tr>
    </w:tbl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 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Примечания: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1. Корректирование нормативов производится для серийных моделей, в конструкции которых не учтены специфические особенности работы в данных районах.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2. Агрессивность окружающей среды учитывается и при постоянном использовании подвижного состава для перевозки химических грузов, вызывающих интенсивную коррозию деталей.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 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 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b/>
          <w:bCs/>
          <w:color w:val="424242"/>
          <w:szCs w:val="24"/>
          <w:lang w:eastAsia="ru-RU"/>
        </w:rPr>
        <w:t>Таблица 3.10</w:t>
      </w:r>
    </w:p>
    <w:tbl>
      <w:tblPr>
        <w:tblW w:w="0" w:type="auto"/>
        <w:tblCellSpacing w:w="15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3"/>
        <w:gridCol w:w="1747"/>
        <w:gridCol w:w="1407"/>
        <w:gridCol w:w="784"/>
        <w:gridCol w:w="764"/>
        <w:gridCol w:w="784"/>
        <w:gridCol w:w="779"/>
      </w:tblGrid>
      <w:tr w:rsidR="00765168" w:rsidRPr="00765168" w:rsidTr="00765168">
        <w:trPr>
          <w:gridAfter w:val="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Пробег с начала эксплуатации, в долях от нормативного до КР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Автомобили</w:t>
            </w:r>
          </w:p>
        </w:tc>
      </w:tr>
      <w:tr w:rsidR="00765168" w:rsidRPr="00765168" w:rsidTr="00765168">
        <w:trPr>
          <w:gridAfter w:val="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грузовые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автобусы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легковые</w:t>
            </w:r>
          </w:p>
        </w:tc>
      </w:tr>
      <w:tr w:rsidR="00765168" w:rsidRPr="00765168" w:rsidTr="0076516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lang w:eastAsia="ru-RU"/>
              </w:rPr>
              <w:t>К</w:t>
            </w: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lang w:eastAsia="ru-RU"/>
              </w:rPr>
              <w:t>К΄</w:t>
            </w: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lang w:eastAsia="ru-RU"/>
              </w:rPr>
              <w:t>К</w:t>
            </w: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lang w:eastAsia="ru-RU"/>
              </w:rPr>
              <w:t>К΄</w:t>
            </w: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lang w:eastAsia="ru-RU"/>
              </w:rPr>
              <w:t>К</w:t>
            </w: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lang w:eastAsia="ru-RU"/>
              </w:rPr>
              <w:t>К΄</w:t>
            </w: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vertAlign w:val="subscript"/>
                <w:lang w:eastAsia="ru-RU"/>
              </w:rPr>
              <w:t>4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До 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0,7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Свыше 0,25 до 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0,7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» 0,50 » 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lastRenderedPageBreak/>
              <w:t>0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lastRenderedPageBreak/>
              <w:t>» 0,75 » 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1,3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» 1,00 » 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1,4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» 1,25 » 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1,4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» 1,50 » 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1,4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» 1,75 » 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1,4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» 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1,4</w:t>
            </w:r>
          </w:p>
        </w:tc>
      </w:tr>
    </w:tbl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 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b/>
          <w:bCs/>
          <w:color w:val="424242"/>
          <w:szCs w:val="24"/>
          <w:lang w:eastAsia="ru-RU"/>
        </w:rPr>
        <w:t>Таблица 3.11</w:t>
      </w:r>
    </w:p>
    <w:tbl>
      <w:tblPr>
        <w:tblW w:w="0" w:type="auto"/>
        <w:tblCellSpacing w:w="15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7"/>
        <w:gridCol w:w="3501"/>
        <w:gridCol w:w="1091"/>
        <w:gridCol w:w="899"/>
      </w:tblGrid>
      <w:tr w:rsidR="00765168" w:rsidRPr="00765168" w:rsidTr="00765168">
        <w:trPr>
          <w:gridAfter w:val="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Количество автомобилей, обслуживаемых и ремонтируемых на автотранспортном предприятии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lang w:eastAsia="ru-RU"/>
              </w:rPr>
              <w:t>К</w:t>
            </w:r>
            <w:r w:rsidRPr="00765168">
              <w:rPr>
                <w:rFonts w:eastAsia="Times New Roman" w:cs="Times New Roman"/>
                <w:i/>
                <w:iCs/>
                <w:color w:val="424242"/>
                <w:szCs w:val="24"/>
                <w:vertAlign w:val="subscript"/>
                <w:lang w:eastAsia="ru-RU"/>
              </w:rPr>
              <w:t>5</w:t>
            </w: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 для технологически совместимых групп подвижного состава</w:t>
            </w:r>
          </w:p>
        </w:tc>
      </w:tr>
      <w:tr w:rsidR="00765168" w:rsidRPr="00765168" w:rsidTr="0076516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менее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более 3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До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1,30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Свыше 100 до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1,20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» 200 »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1,10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» 300 »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1,05</w:t>
            </w:r>
          </w:p>
        </w:tc>
      </w:tr>
      <w:tr w:rsidR="00765168" w:rsidRPr="00765168" w:rsidTr="007651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lastRenderedPageBreak/>
              <w:t>»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168" w:rsidRPr="00765168" w:rsidRDefault="00765168" w:rsidP="00765168">
            <w:pPr>
              <w:spacing w:before="187" w:after="187"/>
              <w:ind w:left="187" w:right="187" w:firstLine="0"/>
              <w:rPr>
                <w:rFonts w:eastAsia="Times New Roman" w:cs="Times New Roman"/>
                <w:color w:val="424242"/>
                <w:szCs w:val="24"/>
                <w:lang w:eastAsia="ru-RU"/>
              </w:rPr>
            </w:pPr>
            <w:r w:rsidRPr="00765168">
              <w:rPr>
                <w:rFonts w:eastAsia="Times New Roman" w:cs="Times New Roman"/>
                <w:color w:val="424242"/>
                <w:szCs w:val="24"/>
                <w:lang w:eastAsia="ru-RU"/>
              </w:rPr>
              <w:t>0,95</w:t>
            </w:r>
          </w:p>
        </w:tc>
      </w:tr>
    </w:tbl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 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Примечание.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Количество автомобилей в технологически совместимой группе должно быть не менее 25.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 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В условиях АТП режимы ТО автомобилей могут также корректировать в соответствии с объективными данными действующей системы учета по отказам и неисправностям автомобилей, затратам на их ТО и ремонт. Основным методом корректирования режимов ТО и объема сопутствующих ремонтных работ являются учет условий эксплуатации автомобилей, а также анализ фактически выполняемых в данном предприятии операций ТО и ТР, которые непосредственно связаны с режимами и качеством выполняемых профилактических работ. Периодичность ТО корректируют, исходя из условий эксплуатации подвижного состава, а перечень профилактических работ (в который переносятся часто повторяющиеся операции ТР и исключаются нехарактерные в данных условиях эксплуатации операции ТО) уточняют на основании совместного анализа операций ТО и ремонта. Операции сопутствующего ТР включают в перечень обязательных ТО в зависимости от фактической средней периодичности их выполнения, группы, к которой они относятся, принятой на предприятии периодичности ТО-1 и ТО-2, а также их кратности. При корректировании перечней работ соответственно изменяются трудоемкость ТО и ремонта.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 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 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Выполнение профилактических и ремонтных работ автомобильной техники в заранее запланированный срок или после определенной наработки не вполне удовлетворяет возросшим требованиям обеспечения безопасности дорожного движения и экономичной эксплуатации подвижного состава. Не исключены случаи появления отказов и неисправностей. Некоторые профилактические работы выполняются преждевременно или с опозданием. Основной причиной такого положения является то, что большинство работ по ТО и ремонту автомобильной техники осуществляется без учета фактического технического состояния элементов автомобиля. В связи с этим назрела необходимость дальнейшего совершенствования системы ТО и ремонта автомобильной техники.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Наиболее совершенной системой ТО и ремонта автомобилей следует считать такую, которая наиболее полно обеспечивает взаимодействие процессов изменения технического состояния автомобиля (т. е. процессов изменения диагностических параметров) и процессов восстановления. Классическим примером такой системы могут быть обслуживание и ремонт автомобильной техники по техническому состоянию.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Техническое обслуживание автомобилей по техническому состоянию называется планово-предупредительным.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 xml:space="preserve">Периодичность и объем работ по технической диагностике являются планируемыми. Предупредительный характер их обеспечивается постоянным наблюдением за надежностью и техническим состоянием автомобилей с целью своевременного выявления </w:t>
      </w:r>
      <w:proofErr w:type="spellStart"/>
      <w:r w:rsidRPr="00765168">
        <w:rPr>
          <w:rFonts w:eastAsia="Times New Roman" w:cs="Times New Roman"/>
          <w:color w:val="424242"/>
          <w:szCs w:val="24"/>
          <w:lang w:eastAsia="ru-RU"/>
        </w:rPr>
        <w:t>предотказного</w:t>
      </w:r>
      <w:proofErr w:type="spellEnd"/>
      <w:r w:rsidRPr="00765168">
        <w:rPr>
          <w:rFonts w:eastAsia="Times New Roman" w:cs="Times New Roman"/>
          <w:color w:val="424242"/>
          <w:szCs w:val="24"/>
          <w:lang w:eastAsia="ru-RU"/>
        </w:rPr>
        <w:t xml:space="preserve"> состояния. Принцип предупреждения отказов </w:t>
      </w:r>
      <w:r w:rsidRPr="00765168">
        <w:rPr>
          <w:rFonts w:eastAsia="Times New Roman" w:cs="Times New Roman"/>
          <w:color w:val="424242"/>
          <w:szCs w:val="24"/>
          <w:lang w:eastAsia="ru-RU"/>
        </w:rPr>
        <w:lastRenderedPageBreak/>
        <w:t>и неисправностей является основным. С этой целью широко можно использовать назначение упреждающих допусков.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Упреждающий допуск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 xml:space="preserve">— совокупность значений параметров, заключенных между предельным и </w:t>
      </w:r>
      <w:proofErr w:type="spellStart"/>
      <w:r w:rsidRPr="00765168">
        <w:rPr>
          <w:rFonts w:eastAsia="Times New Roman" w:cs="Times New Roman"/>
          <w:color w:val="424242"/>
          <w:szCs w:val="24"/>
          <w:lang w:eastAsia="ru-RU"/>
        </w:rPr>
        <w:t>предотказным</w:t>
      </w:r>
      <w:proofErr w:type="spellEnd"/>
      <w:r w:rsidRPr="00765168">
        <w:rPr>
          <w:rFonts w:eastAsia="Times New Roman" w:cs="Times New Roman"/>
          <w:color w:val="424242"/>
          <w:szCs w:val="24"/>
          <w:lang w:eastAsia="ru-RU"/>
        </w:rPr>
        <w:t xml:space="preserve"> уровнями. Выход параметра за предельное состояние означает отказ, достижение </w:t>
      </w:r>
      <w:proofErr w:type="spellStart"/>
      <w:r w:rsidRPr="00765168">
        <w:rPr>
          <w:rFonts w:eastAsia="Times New Roman" w:cs="Times New Roman"/>
          <w:color w:val="424242"/>
          <w:szCs w:val="24"/>
          <w:lang w:eastAsia="ru-RU"/>
        </w:rPr>
        <w:t>предотказного</w:t>
      </w:r>
      <w:proofErr w:type="spellEnd"/>
      <w:r w:rsidRPr="00765168">
        <w:rPr>
          <w:rFonts w:eastAsia="Times New Roman" w:cs="Times New Roman"/>
          <w:color w:val="424242"/>
          <w:szCs w:val="24"/>
          <w:lang w:eastAsia="ru-RU"/>
        </w:rPr>
        <w:t xml:space="preserve"> уровня — необходимость проведения профилактических мероприятий.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При ТО и ремонте автомобилей по техническому состоянию с контролем уровня надежности элементов автомобиля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элементы подвижного состава эксплуатируют без ограничения ресурса до отказа. Фактический уровень надежности элементов автомобиля (например, параметр потока отказов) не должен превышать установленного верхнего статистического уровня. В случае превышения этого уровня при прочих равных условиях для определенных элементов автомобиля последний направляется на обслуживание или ремонт; временно устанавливается межремонтный ресурс, который рассматривается как сигнал о необходимости повышения надежности данных элементов автомобиля. Чтобы применить этот метод, необходимо четко организовать систему сбора и обработки информации об отказах и неисправностях элементов автомобилей в АТП.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i/>
          <w:iCs/>
          <w:color w:val="424242"/>
          <w:szCs w:val="24"/>
          <w:lang w:eastAsia="ru-RU"/>
        </w:rPr>
        <w:t>При ТО и ремонте автомобилей по техническому состоянию с контролем параметров агрегатов </w:t>
      </w:r>
      <w:r w:rsidRPr="00765168">
        <w:rPr>
          <w:rFonts w:eastAsia="Times New Roman" w:cs="Times New Roman"/>
          <w:color w:val="424242"/>
          <w:szCs w:val="24"/>
          <w:lang w:eastAsia="ru-RU"/>
        </w:rPr>
        <w:t>после отработки установленного ресурса предусматриваются непрерывный, или периодический, контроль и изменение параметров, определяющих техническое состояние тех или иных агрегатов. По результатам контроля принимается решение о продолжении эксплуатации автомобиля до следующей проверки. Изменения функциональных и диагностических параметров агрегатов производятся с определенной периодичностью в движении и при выполнении ТО и ремонта автомобиля.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Прогноз технического состояния или надежности агрегата устанавливается на период не менее чем до следующей проверки значений параметров. Параллельно используется статистическая информация о надежности элементов автомобиля. Данные прогноза — техническая основа для принятия решения о допуске агрегата к дальнейшей эксплуатации. ТО и ремонт автомобилей по техническому состоянию с контролем параметров эксплуатируемых агрегатов автомобиля относится к наиболее эффективным, а для наиболее сложных и ответственных агрегатов — и к единственно возможным.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Применение ТО и ремонта автомобилей по техническому состоянию потребует: широкого внедрения на АТП средств и методов технической диагностики, цифровых ЭВМ для оценки и прогнозирования технического состояния элементов, а также для сбора и обработки статистической информации о надежности автомобилей; создания на предприятиях специальных подразделений, которые выполняют работы по оценке и прогнозированию технического состояния автомобилей и принимают решение о допуске их к эксплуатации или назначении необходимых профилактических либо ремонтных мероприятий.</w:t>
      </w:r>
    </w:p>
    <w:p w:rsidR="00765168" w:rsidRPr="00765168" w:rsidRDefault="00765168" w:rsidP="00765168">
      <w:pPr>
        <w:shd w:val="clear" w:color="auto" w:fill="FFFFFF"/>
        <w:spacing w:before="281" w:after="100" w:afterAutospacing="1" w:line="288" w:lineRule="atLeast"/>
        <w:ind w:left="281" w:right="655" w:firstLine="0"/>
        <w:rPr>
          <w:rFonts w:eastAsia="Times New Roman" w:cs="Times New Roman"/>
          <w:color w:val="424242"/>
          <w:szCs w:val="24"/>
          <w:lang w:eastAsia="ru-RU"/>
        </w:rPr>
      </w:pPr>
      <w:r w:rsidRPr="00765168">
        <w:rPr>
          <w:rFonts w:eastAsia="Times New Roman" w:cs="Times New Roman"/>
          <w:color w:val="424242"/>
          <w:szCs w:val="24"/>
          <w:lang w:eastAsia="ru-RU"/>
        </w:rPr>
        <w:t>Применение ТО и ремонта автомобилей по техническому состоянию позволит более полно использовать «индивидуальные» возможности элементов автомобиля без увеличения вероятности их отказа, а также усовершенствовать конструкции вновь создаваемых моделей автомобилей.</w:t>
      </w:r>
    </w:p>
    <w:p w:rsidR="002D5BCE" w:rsidRPr="00765168" w:rsidRDefault="002D5BCE">
      <w:pPr>
        <w:rPr>
          <w:rFonts w:cs="Times New Roman"/>
          <w:szCs w:val="24"/>
        </w:rPr>
      </w:pPr>
    </w:p>
    <w:sectPr w:rsidR="002D5BCE" w:rsidRPr="00765168" w:rsidSect="005E6BC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65168"/>
    <w:rsid w:val="00187CF2"/>
    <w:rsid w:val="002D5BCE"/>
    <w:rsid w:val="005E6BC5"/>
    <w:rsid w:val="00765168"/>
    <w:rsid w:val="00B91F61"/>
    <w:rsid w:val="00D36DE6"/>
    <w:rsid w:val="00F7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168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765168"/>
    <w:rPr>
      <w:b/>
      <w:bCs/>
    </w:rPr>
  </w:style>
  <w:style w:type="table" w:styleId="a5">
    <w:name w:val="Table Grid"/>
    <w:basedOn w:val="a1"/>
    <w:uiPriority w:val="59"/>
    <w:rsid w:val="00765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2598</Words>
  <Characters>14810</Characters>
  <Application>Microsoft Office Word</Application>
  <DocSecurity>0</DocSecurity>
  <Lines>123</Lines>
  <Paragraphs>34</Paragraphs>
  <ScaleCrop>false</ScaleCrop>
  <Company/>
  <LinksUpToDate>false</LinksUpToDate>
  <CharactersWithSpaces>17374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 anatoliy</dc:creator>
  <cp:lastModifiedBy>anatoliy anatoliy</cp:lastModifiedBy>
  <cp:revision>1</cp:revision>
  <dcterms:created xsi:type="dcterms:W3CDTF">2020-04-27T09:05:00Z</dcterms:created>
  <dcterms:modified xsi:type="dcterms:W3CDTF">2020-04-27T09:06:00Z</dcterms:modified>
</cp:coreProperties>
</file>