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CF" w:rsidRDefault="00387DCF" w:rsidP="00387DCF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cs="Times New Roman"/>
        </w:rPr>
        <w:t>Тема 1</w:t>
      </w:r>
      <w:r w:rsidRPr="00DB23CF">
        <w:rPr>
          <w:rFonts w:cs="Times New Roman"/>
        </w:rPr>
        <w:t xml:space="preserve"> «Контроль технического состояния автотранспортных средств при возвращении на предприятие»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Порядок выхода и возвращения машин в парк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221. Подготовка вооружения и техники к выходу из парка производится под руководством командиров подразделений и их заместителей по вооружению (начальников технической части, начальников бронетанковой, автомобильной, автобронетанковой служб), техников батальонов, старших техников или техников рот. Контроль за техническим состоянием вооружения и техники при выходе из парка и возвращении в парк осуществляется начальником КТП.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222. Технически исправные и обслуженные машины выпускаются из парка дежурным по парку по утвержденному накануне командиром части наряду на использование машин под управлением закрепленных за ними механиков-водителей (водителей), которые должны иметь документы, удостоверяющие их личность и право на управление машиной (водители машин транспортной группы эксплуатации - талон на право использования). Указанные механики-водители (водители) должны пройти </w:t>
      </w:r>
      <w:proofErr w:type="spellStart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предрейсовый</w:t>
      </w:r>
      <w:proofErr w:type="spellEnd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медицинский осмотр и быть допущенными к управлению машиной, должны иметь оформленные путевые листы, подписанные заместителем командира части по вооружению или другим должностным лицом, ответственным за эксплуатацию машин, и отметку начальника КТП, при следовании машин в дальние рейсы - пропуск установленной формы.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223. Использование машин планируется с учетом предоставления механикам-водителям (водителям) необходимого времени для технического обслуживания машин, подготовки их к выходу из парка (рейсу) и отдыха. Выпуск машин, не предусмотренных нарядом, осуществляется в исключительных случаях и только по письменному разрешению командира части с отметкой на лицевой стороне путевого листа («Выход вне наряда до … часов разрешаю»), заверенной печатью части. В выходные и праздничные дни выпуск машин из парка сокращается до минимума.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224. Дежурный по парку с получением наряда на использование машин знакомит с ним начальника КТП, а в конце следующего дня сдает наряд в техническую часть с отметкой, какие машины не выходили и по какой причине. Наряды за истекший месяц хранятся в технической части в течение одного месяца. При направлении машины в командировку, на боевое дежурство или на учения путевой лист выписывается на срок выполнения задания (окончания дежурства, учений), но не более, чем на 10 суток.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225. Командиры (старшие) машин и водители накануне или в день выхода инструктируются командирами подразделений о цели, порядке и сроках выполнения задания, особенностях маршрута и мерах безопасности движения, о чем командиры подразделений делают запись на путевых листах.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226. Разрешение на подготовку машины к выходу дает дежурный по парку по предъявлении командиром (водителем) машины разового пропуска (путевого листа). После получения разрешения дежурного по парку экипаж (водитель) вскрывает машину, производит контрольный осмотр и подготавливает ее к выходу. О готовности машины к выходу командир (водитель) машины докладывает командиру взвода или заместителю командира роты (батареи) по вооружению. Заместитель командира роты (батареи) по вооружению, убедившись в исправности и подготовленности машины, записывает в путевой лист показания спидометра, счетчика </w:t>
      </w:r>
      <w:proofErr w:type="spellStart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моточасов</w:t>
      </w:r>
      <w:proofErr w:type="spellEnd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, расписывается в путевом листе и разрешает вывод машины с места стоянки для следования на КТП.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В частях и подразделениях, в которых по штатам офицеры технической службы не предусмотрены, ответственность за подготовку и выпуск машины из парка возлагается на командиров этих частей и подразделений.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227. Начальник КТП при выходе машины из парка проверяет: наличие и правильность оформления документации, указанной в ст.222; наружное состояние машины; показания контрольных приборов; исправность механизмов и узлов, обеспечивающих безопасность движения; крепление инвентаря и принадлежностей; наличие государственных регистрационных и опознавательных знаков, медицинской аптечки и огнетушителей; состояние и внешний вид механика-водителя (водителя).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Объем и технические условия на проверку машин на КТП определяются перечнями, составляемыми в части на каждую марку машин.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При одновременном выходе большого количества машин их осмотр может проводиться начальником КТП накануне дня выхода непосредственно на стоянке. Убедившись в исправности машины и наличии правильно оформленных документов, начальник КТП расписывается в путевом листе.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Вывод машин из парка по тревоге производится в соответствии с планом вывода техники и вооружения по тревоге. При этом начальник КТП машины не проверяет.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228. В случае обнаружения на машине технических неисправностей, а также при отсутствии или неправильном оформлении документов начальник КТП задерживает машину. О причинах задержания он немедленно докладывает заместителю командира части по вооружению и сообщает дежурному по парку для отметки в журнале выхода и возвращения машин и в наряде. Заместитель командира части по вооружению (начальник бронетанковой, автомобильной, автобронетанковой службы) через командира подразделения принимает меры по приведению машины в готовность и при необходимости докладывает командиру части.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Должностные лица части не имеют права отдавать приказания начальнику КТП о выпуске из парка неисправных машин.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229. Дежурный по парку при наличии на путевом листе отметок заместителя командира подразделения по вооружению, начальника КТП и о прохождении водителем медосмотра сверяет путевой лист с нарядом на использование машин, отмечает в путевом листе время убытия машин из парка, расписывается в путевом листе, делает необходимые записи в журнале выхода и возвращения машин и разрешает дневальному выпустить машину из парка.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При выходе из парка машина поступает в распоряжение лица, под руководством которого она используется согласно наряда.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230. По прибытии машины в парк и после проверки ее начальником КТП дежурный по парку делает запись в путевом листе и в журнале выхода и возвращения машин о времени возвращения, показании спидометра, сверяет соответствие пройденного маршрута фактическому расстоянию и, когда машина будет полностью обслужена и заправлена, направляет ее на стоянку или организует ее охрану в установленном порядке, после чего разрешает экипажу, механику-водителю (водителю) убыть из парка.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231. Обслуженные машины ставятся на стоянку. В холодное время года в </w:t>
      </w:r>
      <w:proofErr w:type="spellStart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неотапливаемых</w:t>
      </w:r>
      <w:proofErr w:type="spellEnd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хранилищах и на открытых площадках парка при низких температурах воздуха из систем охлаждения двигателей сливается вода, с машин снимаются аккумуляторные батареи. При этом вывешиваются таблички: "Вода слита", "Аккумуляторные батареи сняты".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Необслуженные</w:t>
      </w:r>
      <w:proofErr w:type="spellEnd"/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неисправные машины ставить на стоянки запрещается.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по возвращении в парк машина ставится для проведения технического обслуживания или для ремонта, который к исходу дня не может быть закончен, дежурный по парку делает об этом запись </w:t>
      </w: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 журнале выхода и возвращения машин. Каждая машина, возвратившаяся в парк, проверяется заместителем командира роты (батареи) по вооружению или командиром взвода. Заместитель командира подразделения по вооружению проверяет правильность заполнения путевого листа, расписывается и делает запись в книге учета эксплуатации машин и расхода ГСМ.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Машины, возвратившиеся в парк после сдачи его под охрану караула, опечатываются и принимаются под охрану дежурным по парку и содержатся на площадке возле помещения для дежурного по парку.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* В дальнейшем - парки.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000000"/>
          <w:sz w:val="24"/>
          <w:szCs w:val="24"/>
          <w:lang w:eastAsia="ru-RU"/>
        </w:rPr>
        <w:t>* Техник по безопасности движения – начальник КТП в дальнейшем именуется начальником КТП.</w:t>
      </w:r>
    </w:p>
    <w:p w:rsidR="002D5BCE" w:rsidRPr="00387DCF" w:rsidRDefault="002D5BCE">
      <w:pPr>
        <w:rPr>
          <w:rFonts w:cs="Times New Roman"/>
          <w:sz w:val="24"/>
          <w:szCs w:val="24"/>
        </w:rPr>
      </w:pPr>
    </w:p>
    <w:p w:rsidR="00387DCF" w:rsidRPr="00387DCF" w:rsidRDefault="00387DCF">
      <w:pPr>
        <w:rPr>
          <w:rFonts w:cs="Times New Roman"/>
          <w:sz w:val="24"/>
          <w:szCs w:val="24"/>
        </w:rPr>
      </w:pP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Порядок действии при обнаружении в пути следования неисправностей колесных пар подвижного состава</w:t>
      </w: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hyperlink r:id="rId4" w:history="1">
        <w:r w:rsidRPr="00387DCF">
          <w:rPr>
            <w:rFonts w:eastAsia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alt="" href="https://studopedia.ru/10_94970_poryadok-deystvii-pri-obnaruzhenii-v-puti-sledovaniya-neispravnostey-kolesnih-par-podvizhnogo-sostava.html" style="width:24.3pt;height:24.3pt" o:button="t"/>
          </w:pict>
        </w:r>
      </w:hyperlink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15.1. При обнаружении в пути следования неисправностей колесных пар локомотива, МВПС локомотивная бригада обязана: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· осмотреть колёсную пару и определить, есть ли ослабление бандажа на ободе колесного центра и, если бандаж не ослаблен, проверить состояние стопорного кольца;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· при ослабленном бандаже или стопорном кольце более установленных норм заказать вспомогательный локомотив с хвоста поезда, а после прибытия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  <w:t>вспомогательного локомотива выключить тяговый электродвигатель, тормозной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  <w:t>цилиндр неисправной колесной пары и следовать резервом со скоростью не более 15 км/ч;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· при устоявшемся </w:t>
      </w:r>
      <w:proofErr w:type="spellStart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провороте</w:t>
      </w:r>
      <w:proofErr w:type="spellEnd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бандажа колесной пары без признаков ослабления бандажа и стопорного кольца, на данной колесной паре, отключить тяговый электродвигатель, исключить действие тормозов, поставить новую метку и установив контроль за техническим состоянием данной колёсной пары довести поезд до конечной станции;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· при обнаружении повторного </w:t>
      </w:r>
      <w:proofErr w:type="spellStart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проворота</w:t>
      </w:r>
      <w:proofErr w:type="spellEnd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бандажа в пути следования, отцепить локомотив от грузового поезда и следовать резервом со скоростью не более 15 км/ч с выключенным тяговым электродвигателем и тормозным цилиндром неисправной колесной пары;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· при следовании с пассажирским поездом затребовать вспомогательный локомотив с хвоста поезда и, после прибытия вспомогательного локомотива, выключить тяговый электродвигатель и тормозной цилиндр неисправной колесной пары и следовать резервом со скоростью не более 15 км/ч.</w:t>
      </w: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87DCF" w:rsidRPr="00387DCF" w:rsidRDefault="00387DCF" w:rsidP="00387DCF">
      <w:pPr>
        <w:spacing w:after="300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· об обнаруженном </w:t>
      </w:r>
      <w:proofErr w:type="spellStart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провороте</w:t>
      </w:r>
      <w:proofErr w:type="spellEnd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бандажа произвести запись в журнале технического состояния локомотива.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15.2. Порядок действий при обнаружении в пути следования неисправностей колесных пар подвижного состава: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· при обнаружении в пути следования у пассажирского или грузового вагона (кроме моторного вагона МВПС или тендера с буксами с роликовыми подшипниками) ползуна (выбоины) глубиной более 1 мм, но не более 2 мм разрешается довести такой вагон (тендер) без отцепки от поезда до ближайшего пункта технического обслуживания, имеющего средства для замены колесных пар, со скоростью не свыше 100 км/ч в пассажирском поезде и не свыше 70 км/ч в грузовом поезде;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· при глубине ползуна от 2 до 6 мм у вагонов, кроме моторного вагона МВПС, и от 1 до 2 мм у локомотива и моторного вагона МВПС допускается следование поезда до ближайшей станции со скоростью 15 км/ч, при величине ползуна соответственно свыше 6 до 12 мм и свыше 2 до 4 мм - со скоростью 10 км/ч. На ближайшей станции колесная пара должна быть заменена;</w:t>
      </w: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· при глубине ползуна свыше 12 мм у вагона и тендера, свыше 4 мм у локомотива и моторного вагона МВПС разрешается следование со скоростью 10 км/ч при условии вывешивания или исключения возможности вращения колесной пары. Локомотив при этом должен быть отцеплен от поезда, тормозные цилиндры и тяговый электродвигатель (группа двигателей) поврежденной колесной пары отключены.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16. </w:t>
      </w:r>
      <w:r w:rsidRPr="00387DCF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Порядок действий при нарушении работы устройств поездной радиосвязи.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16.1. </w:t>
      </w:r>
      <w:r w:rsidRPr="00387DCF">
        <w:rPr>
          <w:rFonts w:eastAsia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При выходе из строя КВ или УКВ диапазона радиостанции на локомотиве, машинист обязан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 доложить об этом ДСП или ДНЦ и следовать по приказу ДНЦ до пункта смены локомотивных бригад, где имеется пункт технического обслуживания локомотивов или контрольный пост радиосвязи,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  <w:t>используя для переговоров исправный частотный диапазон.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16.2. ДНЦ лично или через ДСП обязан проверить связь с машинистом в исправном диапазоне и дать регистрируемый приказ на дальнейшее следование.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16.3. При неисправности КВ диапазона радиостанции, информацию речевого информатора КТСМ, УКСПС, а так же другую информацию связанную с изменениями поездной обстановки на перегоне, ДСП или ДНЦ должны продублировать машинисту по УКВ диапазону радиостанции.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16.4. При выходе из строя КВ и УКВ диапазонов радиостанции на локомотиве машинист должен довести поезд до ближайшей станции, где заказать вспомогательный локомотив.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16.5. На участках с диспетчерской централизацией при выходе из строя поездной радиосвязи КВ-диапазона машинист локомотива должен довести поезд до ближайшей станции, где заказать вспомогательный локомотив.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16.6. При выходе из строя радиосвязи КВ или УКВ-диапазона на локомотиве пассажирского поезда, обслуживаемого одним машинистом, машинист должен довести поезд до ближайшей станции, где заказать вспомогательный локомотив.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16.7. При выходе из строя радиосвязи КВ и УКВ диапазона на МВПС машинист должен довести поезд до конечной станции при условии нахождения помощника машиниста в задней кабине, а так же исправной </w:t>
      </w:r>
      <w:proofErr w:type="spellStart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межкабинной</w:t>
      </w:r>
      <w:proofErr w:type="spellEnd"/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связи, исправной и включенной радиосвязи в задней кабине. Следование поезда осуществляется по приказу ДНЦ.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17. Порядок действий при неисправности локомотивных устройств безопасности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17.1</w:t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t>. </w:t>
      </w:r>
      <w:r w:rsidRPr="00387DCF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случае возникновения неисправности основных систем безопасности АЛСН, КЛУБ, ЕКС и невозможности восстановления их действия машинист обязан: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незамедлительно получить регистрируемый приказ ДНЦ на следование поезда с неисправными устройствами безопасности;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при наличии сообщения от ДНЦ о свободности межстанционного перегона следовать со скоростью не более 100 км/час для пассажирских поездов и МВПС и не более 70 км/час для грузовых поездов;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при отсутствии сообщения от ДНЦ о свободности межстанционного перегона следовать при зелёном огне путевого светофора со скоростью не более 80 км/час для пассажирских поездов и МВПС и не более 50 км/час для грузовых поездов;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светофор с жёлтым огнём (двумя жёлтыми огнями) проследовать со скоростью не более 40 км/час.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17.2. При следовании по участку машинист обязан периодически проверять работоспособность приборов безопасности и, если их работоспособность восстановится, продолжить движение с включенными устройствами, сообщив об этом поездному диспетчеру.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17.3.По прибытию на конечный пункт следования машинист должен доложить руководству депо о случае ведения поезда с неисправными приборами безопасности, а так же сделать об этом запись на оборотной стороне </w:t>
      </w:r>
      <w:proofErr w:type="spellStart"/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скоростемерной</w:t>
      </w:r>
      <w:proofErr w:type="spellEnd"/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 xml:space="preserve"> ленты и в журнале технического состояния локомотива.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17.4.При следовании с неисправными устройствами безопасности запрещается: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передавать управление локомотивом помощнику машиниста;</w:t>
      </w:r>
    </w:p>
    <w:p w:rsidR="00387DCF" w:rsidRPr="00387DCF" w:rsidRDefault="00387DCF" w:rsidP="00387DCF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· помощнику машиниста отлучаться из кабины управления.</w:t>
      </w:r>
    </w:p>
    <w:p w:rsidR="00387DCF" w:rsidRPr="00387DCF" w:rsidRDefault="00387DCF" w:rsidP="00387DCF">
      <w:pPr>
        <w:spacing w:line="240" w:lineRule="auto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387D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387DCF">
        <w:rPr>
          <w:rFonts w:ascii="Tahoma" w:eastAsia="Times New Roman" w:hAnsi="Tahoma" w:cs="Times New Roman"/>
          <w:color w:val="333333"/>
          <w:sz w:val="24"/>
          <w:szCs w:val="24"/>
          <w:lang w:eastAsia="ru-RU"/>
        </w:rPr>
        <w:t>﻿</w:t>
      </w:r>
    </w:p>
    <w:p w:rsidR="00387DCF" w:rsidRPr="00387DCF" w:rsidRDefault="00387DCF">
      <w:pPr>
        <w:rPr>
          <w:rFonts w:cs="Times New Roman"/>
          <w:sz w:val="24"/>
          <w:szCs w:val="24"/>
        </w:rPr>
      </w:pPr>
    </w:p>
    <w:sectPr w:rsidR="00387DCF" w:rsidRPr="00387DCF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7DCF"/>
    <w:rsid w:val="00187CF2"/>
    <w:rsid w:val="00200306"/>
    <w:rsid w:val="002D5BCE"/>
    <w:rsid w:val="00387DCF"/>
    <w:rsid w:val="005E6BC5"/>
    <w:rsid w:val="0085013E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87DC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387D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6897">
              <w:marLeft w:val="0"/>
              <w:marRight w:val="0"/>
              <w:marTop w:val="0"/>
              <w:marBottom w:val="4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264547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23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048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43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535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73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374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8030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433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81970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96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754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872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130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392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390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663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099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opedia.ru/10_94970_poryadok-deystvii-pri-obnaruzhenii-v-puti-sledovaniya-neispravnostey-kolesnih-par-podvizhnogo-sosta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2068</Words>
  <Characters>11791</Characters>
  <Application>Microsoft Office Word</Application>
  <DocSecurity>0</DocSecurity>
  <Lines>98</Lines>
  <Paragraphs>27</Paragraphs>
  <ScaleCrop>false</ScaleCrop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2020-05-13T11:37:00Z</dcterms:created>
  <dcterms:modified xsi:type="dcterms:W3CDTF">2020-05-13T11:40:00Z</dcterms:modified>
</cp:coreProperties>
</file>