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FA4C" w14:textId="79AD078A" w:rsidR="006039BB" w:rsidRPr="008D5D67" w:rsidRDefault="00C838AC" w:rsidP="008D5D67">
      <w:pPr>
        <w:ind w:firstLine="709"/>
        <w:jc w:val="both"/>
        <w:rPr>
          <w:rFonts w:ascii="Times New Roman" w:hAnsi="Times New Roman"/>
          <w:bCs/>
        </w:rPr>
      </w:pPr>
      <w:r w:rsidRPr="008D5D67">
        <w:rPr>
          <w:rFonts w:ascii="Times New Roman" w:hAnsi="Times New Roman"/>
          <w:bCs/>
        </w:rPr>
        <w:t>4</w:t>
      </w:r>
      <w:r w:rsidR="008D5D67" w:rsidRPr="008D5D67">
        <w:rPr>
          <w:rFonts w:ascii="Times New Roman" w:hAnsi="Times New Roman"/>
          <w:bCs/>
        </w:rPr>
        <w:t xml:space="preserve">. </w:t>
      </w:r>
      <w:r w:rsidRPr="008D5D67">
        <w:rPr>
          <w:rFonts w:ascii="Times New Roman" w:hAnsi="Times New Roman"/>
          <w:bCs/>
        </w:rPr>
        <w:t>И</w:t>
      </w:r>
      <w:r w:rsidR="008D5D67" w:rsidRPr="008D5D67">
        <w:rPr>
          <w:rFonts w:ascii="Times New Roman" w:hAnsi="Times New Roman"/>
          <w:bCs/>
        </w:rPr>
        <w:t>дентификация, анализ и оценка рисков</w:t>
      </w:r>
    </w:p>
    <w:p w14:paraId="12FD1345" w14:textId="77777777" w:rsidR="008D5D67" w:rsidRPr="008D5D67" w:rsidRDefault="008D5D67" w:rsidP="008D5D67">
      <w:pPr>
        <w:ind w:firstLine="709"/>
        <w:jc w:val="both"/>
        <w:rPr>
          <w:rFonts w:ascii="Times New Roman" w:hAnsi="Times New Roman"/>
        </w:rPr>
      </w:pPr>
    </w:p>
    <w:p w14:paraId="0E6D2EAF" w14:textId="4B72ED0E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Идентификация рисков — поиск ответов на вопросы: где, когда, почему и как рисковые ситуации могут препятствовать или благо</w:t>
      </w:r>
      <w:r w:rsidRPr="008D5D67">
        <w:rPr>
          <w:rFonts w:ascii="Times New Roman" w:hAnsi="Times New Roman"/>
        </w:rPr>
        <w:softHyphen/>
      </w:r>
      <w:r w:rsidRPr="008D5D67">
        <w:rPr>
          <w:rFonts w:ascii="Times New Roman" w:hAnsi="Times New Roman"/>
        </w:rPr>
        <w:t>приятствовать достижению запланированных результатов (целей). Идентификация рисков — сравнение объекта с некоторым эталоном; установление тождественности объектов на основании тех или иных признаков; этап обработки информации, связанный с выявлением смысло</w:t>
      </w:r>
      <w:r w:rsidRPr="008D5D67">
        <w:rPr>
          <w:rFonts w:ascii="Times New Roman" w:hAnsi="Times New Roman"/>
        </w:rPr>
        <w:t>вого содержания и установлением его тождества с реальным объектом; распознавание объекта по одному или нескольким атри</w:t>
      </w:r>
      <w:r w:rsidRPr="008D5D67">
        <w:rPr>
          <w:rFonts w:ascii="Times New Roman" w:hAnsi="Times New Roman"/>
        </w:rPr>
        <w:softHyphen/>
        <w:t>бутам.</w:t>
      </w:r>
    </w:p>
    <w:p w14:paraId="0DA4A839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Идентификация рисков — определение источника риска, собы</w:t>
      </w:r>
      <w:r w:rsidRPr="008D5D67">
        <w:rPr>
          <w:rFonts w:ascii="Times New Roman" w:hAnsi="Times New Roman"/>
        </w:rPr>
        <w:softHyphen/>
        <w:t>тия и потенциальных последствий реализации рискового события.</w:t>
      </w:r>
    </w:p>
    <w:p w14:paraId="00D6527A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Идентификац</w:t>
      </w:r>
      <w:r w:rsidRPr="008D5D67">
        <w:rPr>
          <w:rFonts w:ascii="Times New Roman" w:hAnsi="Times New Roman"/>
        </w:rPr>
        <w:t>ия рисков — систематическая проверка исследу</w:t>
      </w:r>
      <w:r w:rsidRPr="008D5D67">
        <w:rPr>
          <w:rFonts w:ascii="Times New Roman" w:hAnsi="Times New Roman"/>
        </w:rPr>
        <w:softHyphen/>
        <w:t>емой системы с целью идентификации типа присутствующих неус</w:t>
      </w:r>
      <w:r w:rsidRPr="008D5D67">
        <w:rPr>
          <w:rFonts w:ascii="Times New Roman" w:hAnsi="Times New Roman"/>
        </w:rPr>
        <w:softHyphen/>
        <w:t>транимых опасностей и способов их проявления.</w:t>
      </w:r>
    </w:p>
    <w:p w14:paraId="3926B58A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Источник риска — причина, предпосылка рисковой ситуации, ко</w:t>
      </w:r>
      <w:r w:rsidRPr="008D5D67">
        <w:rPr>
          <w:rFonts w:ascii="Times New Roman" w:hAnsi="Times New Roman"/>
        </w:rPr>
        <w:softHyphen/>
        <w:t xml:space="preserve">торые способны причинить потенциальный вред, </w:t>
      </w:r>
      <w:r w:rsidRPr="008D5D67">
        <w:rPr>
          <w:rFonts w:ascii="Times New Roman" w:hAnsi="Times New Roman"/>
        </w:rPr>
        <w:t>ущерб или содей</w:t>
      </w:r>
      <w:r w:rsidRPr="008D5D67">
        <w:rPr>
          <w:rFonts w:ascii="Times New Roman" w:hAnsi="Times New Roman"/>
        </w:rPr>
        <w:softHyphen/>
        <w:t>ствовать проявлениям со стороны потенциально опасных объектов (например, конкурентов) регулятивных требований.</w:t>
      </w:r>
    </w:p>
    <w:p w14:paraId="1D0F30D9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Последствия реализации рисковой ситуации — результат воздей</w:t>
      </w:r>
      <w:r w:rsidRPr="008D5D67">
        <w:rPr>
          <w:rFonts w:ascii="Times New Roman" w:hAnsi="Times New Roman"/>
        </w:rPr>
        <w:softHyphen/>
        <w:t>ствия, например, ущерб для окружающей среды, потеря или увели</w:t>
      </w:r>
      <w:r w:rsidRPr="008D5D67">
        <w:rPr>
          <w:rFonts w:ascii="Times New Roman" w:hAnsi="Times New Roman"/>
        </w:rPr>
        <w:softHyphen/>
        <w:t>чение д</w:t>
      </w:r>
      <w:r w:rsidRPr="008D5D67">
        <w:rPr>
          <w:rFonts w:ascii="Times New Roman" w:hAnsi="Times New Roman"/>
        </w:rPr>
        <w:t>оли рынка.</w:t>
      </w:r>
    </w:p>
    <w:p w14:paraId="6AD1BF3C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Причины риска могут быть как прямыми, так и косвенными. Они обусловлены присутствием источника опасности, наступлением кон</w:t>
      </w:r>
      <w:r w:rsidRPr="008D5D67">
        <w:rPr>
          <w:rFonts w:ascii="Times New Roman" w:hAnsi="Times New Roman"/>
        </w:rPr>
        <w:softHyphen/>
        <w:t>кретного события, например, вмешательством человека, неудачным прогнозом.</w:t>
      </w:r>
    </w:p>
    <w:p w14:paraId="0BA248CD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В процессе идентификации выявляется перечень ист</w:t>
      </w:r>
      <w:r w:rsidRPr="008D5D67">
        <w:rPr>
          <w:rFonts w:ascii="Times New Roman" w:hAnsi="Times New Roman"/>
        </w:rPr>
        <w:t>очников риска и связанных с ними событий.</w:t>
      </w:r>
    </w:p>
    <w:p w14:paraId="6BCF9871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Процесс идентификации источников рисков — систематический процесс, начинающийся с характеристики текущей ситуации, пред</w:t>
      </w:r>
      <w:r w:rsidRPr="008D5D67">
        <w:rPr>
          <w:rFonts w:ascii="Times New Roman" w:hAnsi="Times New Roman"/>
        </w:rPr>
        <w:softHyphen/>
        <w:t>полагающий рассмотрение процесса, проекта или деятельности ор</w:t>
      </w:r>
      <w:r w:rsidRPr="008D5D67">
        <w:rPr>
          <w:rFonts w:ascii="Times New Roman" w:hAnsi="Times New Roman"/>
        </w:rPr>
        <w:softHyphen/>
        <w:t>ганизации в целом структурирован</w:t>
      </w:r>
      <w:r w:rsidRPr="008D5D67">
        <w:rPr>
          <w:rFonts w:ascii="Times New Roman" w:hAnsi="Times New Roman"/>
        </w:rPr>
        <w:t>но.</w:t>
      </w:r>
    </w:p>
    <w:p w14:paraId="16181B31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Для идентификации источников риска необходима актуализиро</w:t>
      </w:r>
      <w:r w:rsidRPr="008D5D67">
        <w:rPr>
          <w:rFonts w:ascii="Times New Roman" w:hAnsi="Times New Roman"/>
        </w:rPr>
        <w:softHyphen/>
        <w:t>ванная информация.</w:t>
      </w:r>
    </w:p>
    <w:p w14:paraId="35D7EF42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Способы идентификации:</w:t>
      </w:r>
    </w:p>
    <w:p w14:paraId="38028341" w14:textId="77777777" w:rsidR="006039BB" w:rsidRPr="008D5D67" w:rsidRDefault="00C838AC" w:rsidP="008D5D67">
      <w:pPr>
        <w:tabs>
          <w:tab w:val="left" w:pos="37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ретроспективный анализ деятельности организации;</w:t>
      </w:r>
    </w:p>
    <w:p w14:paraId="53722B01" w14:textId="77777777" w:rsidR="006039BB" w:rsidRPr="008D5D67" w:rsidRDefault="00C838AC" w:rsidP="008D5D67">
      <w:pPr>
        <w:tabs>
          <w:tab w:val="left" w:pos="37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изучение опыта предшествующих исследований риска;</w:t>
      </w:r>
    </w:p>
    <w:p w14:paraId="5DE8AFC3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ретроспективный анализ деятельности аналогичных</w:t>
      </w:r>
      <w:r w:rsidRPr="008D5D67">
        <w:rPr>
          <w:rFonts w:ascii="Times New Roman" w:hAnsi="Times New Roman"/>
        </w:rPr>
        <w:t xml:space="preserve"> организаций;</w:t>
      </w:r>
    </w:p>
    <w:p w14:paraId="42ABA2FB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исследование текущей ситуации с участием самих заинтересован</w:t>
      </w:r>
      <w:r w:rsidRPr="008D5D67">
        <w:rPr>
          <w:rFonts w:ascii="Times New Roman" w:hAnsi="Times New Roman"/>
        </w:rPr>
        <w:softHyphen/>
        <w:t>ных сторон и экспертов;</w:t>
      </w:r>
    </w:p>
    <w:p w14:paraId="4D985A8A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использование контрольных перечней рисков, характерных для отрасли, организации, технологии, региона, рынка;</w:t>
      </w:r>
    </w:p>
    <w:p w14:paraId="68D6346D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анализ карт технологических процессов;</w:t>
      </w:r>
    </w:p>
    <w:p w14:paraId="7CA620B2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м</w:t>
      </w:r>
      <w:r w:rsidRPr="008D5D67">
        <w:rPr>
          <w:rFonts w:ascii="Times New Roman" w:hAnsi="Times New Roman"/>
        </w:rPr>
        <w:t>озговая атака;</w:t>
      </w:r>
    </w:p>
    <w:p w14:paraId="0C414A79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изучение статистики аварий.</w:t>
      </w:r>
    </w:p>
    <w:p w14:paraId="3FD2B689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Три категории методов идентификации риска:</w:t>
      </w:r>
    </w:p>
    <w:p w14:paraId="11B1708D" w14:textId="77777777" w:rsidR="006039BB" w:rsidRPr="008D5D67" w:rsidRDefault="00C838AC" w:rsidP="008D5D67">
      <w:pPr>
        <w:tabs>
          <w:tab w:val="left" w:pos="82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а)</w:t>
      </w:r>
      <w:r w:rsidRPr="008D5D67">
        <w:rPr>
          <w:rFonts w:ascii="Times New Roman" w:hAnsi="Times New Roman"/>
        </w:rPr>
        <w:tab/>
        <w:t>сопоставительные методы, например, изучение ведомостей про</w:t>
      </w:r>
      <w:r w:rsidRPr="008D5D67">
        <w:rPr>
          <w:rFonts w:ascii="Times New Roman" w:hAnsi="Times New Roman"/>
        </w:rPr>
        <w:softHyphen/>
        <w:t>верок, обзор данных эксплуатации;</w:t>
      </w:r>
    </w:p>
    <w:p w14:paraId="5F378F56" w14:textId="77777777" w:rsidR="006039BB" w:rsidRPr="008D5D67" w:rsidRDefault="00C838AC" w:rsidP="008D5D67">
      <w:pPr>
        <w:tabs>
          <w:tab w:val="left" w:pos="830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б)</w:t>
      </w:r>
      <w:r w:rsidRPr="008D5D67">
        <w:rPr>
          <w:rFonts w:ascii="Times New Roman" w:hAnsi="Times New Roman"/>
        </w:rPr>
        <w:tab/>
        <w:t xml:space="preserve">фундаментальные методы, которые построены таким образом, чтобы </w:t>
      </w:r>
      <w:r w:rsidRPr="008D5D67">
        <w:rPr>
          <w:rFonts w:ascii="Times New Roman" w:hAnsi="Times New Roman"/>
        </w:rPr>
        <w:t>стимулировать группу исследователей к использованию про</w:t>
      </w:r>
      <w:r w:rsidRPr="008D5D67">
        <w:rPr>
          <w:rFonts w:ascii="Times New Roman" w:hAnsi="Times New Roman"/>
        </w:rPr>
        <w:softHyphen/>
        <w:t>гноза в сочетании с их знаниями по отношению к задаче идентифи</w:t>
      </w:r>
      <w:r w:rsidRPr="008D5D67">
        <w:rPr>
          <w:rFonts w:ascii="Times New Roman" w:hAnsi="Times New Roman"/>
        </w:rPr>
        <w:softHyphen/>
        <w:t>кации опасностей путем постановки ряда вопросов типа «А что, если?..» Примерами данного типа методологии являются исследова</w:t>
      </w:r>
      <w:r w:rsidRPr="008D5D67">
        <w:rPr>
          <w:rFonts w:ascii="Times New Roman" w:hAnsi="Times New Roman"/>
        </w:rPr>
        <w:softHyphen/>
        <w:t>ния опасности</w:t>
      </w:r>
      <w:r w:rsidRPr="008D5D67">
        <w:rPr>
          <w:rFonts w:ascii="Times New Roman" w:hAnsi="Times New Roman"/>
        </w:rPr>
        <w:t xml:space="preserve"> и связанных с ней проблем </w:t>
      </w:r>
      <w:r w:rsidRPr="008D5D67">
        <w:rPr>
          <w:rFonts w:ascii="Times New Roman" w:hAnsi="Times New Roman"/>
          <w:lang w:eastAsia="en-US" w:bidi="en-US"/>
        </w:rPr>
        <w:t>(</w:t>
      </w:r>
      <w:r w:rsidRPr="008D5D67">
        <w:rPr>
          <w:rFonts w:ascii="Times New Roman" w:hAnsi="Times New Roman"/>
          <w:lang w:val="en-US" w:eastAsia="en-US" w:bidi="en-US"/>
        </w:rPr>
        <w:t>HAZOP</w:t>
      </w:r>
      <w:r w:rsidRPr="008D5D67">
        <w:rPr>
          <w:rFonts w:ascii="Times New Roman" w:hAnsi="Times New Roman"/>
          <w:lang w:eastAsia="en-US" w:bidi="en-US"/>
        </w:rPr>
        <w:t xml:space="preserve">), </w:t>
      </w:r>
      <w:r w:rsidRPr="008D5D67">
        <w:rPr>
          <w:rFonts w:ascii="Times New Roman" w:hAnsi="Times New Roman"/>
        </w:rPr>
        <w:t xml:space="preserve">а также анализ видов и последствий отказов </w:t>
      </w:r>
      <w:r w:rsidRPr="008D5D67">
        <w:rPr>
          <w:rFonts w:ascii="Times New Roman" w:hAnsi="Times New Roman"/>
          <w:lang w:eastAsia="en-US" w:bidi="en-US"/>
        </w:rPr>
        <w:t>(</w:t>
      </w:r>
      <w:r w:rsidRPr="008D5D67">
        <w:rPr>
          <w:rFonts w:ascii="Times New Roman" w:hAnsi="Times New Roman"/>
          <w:lang w:val="en-US" w:eastAsia="en-US" w:bidi="en-US"/>
        </w:rPr>
        <w:t>FA</w:t>
      </w:r>
      <w:r w:rsidRPr="008D5D67">
        <w:rPr>
          <w:rFonts w:ascii="Times New Roman" w:hAnsi="Times New Roman"/>
          <w:lang w:eastAsia="en-US" w:bidi="en-US"/>
        </w:rPr>
        <w:t>/</w:t>
      </w:r>
      <w:r w:rsidRPr="008D5D67">
        <w:rPr>
          <w:rFonts w:ascii="Times New Roman" w:hAnsi="Times New Roman"/>
          <w:lang w:val="en-US" w:eastAsia="en-US" w:bidi="en-US"/>
        </w:rPr>
        <w:t>E</w:t>
      </w:r>
      <w:r w:rsidRPr="008D5D67">
        <w:rPr>
          <w:rFonts w:ascii="Times New Roman" w:hAnsi="Times New Roman"/>
          <w:lang w:eastAsia="en-US" w:bidi="en-US"/>
        </w:rPr>
        <w:t>4);</w:t>
      </w:r>
    </w:p>
    <w:p w14:paraId="7182C655" w14:textId="77777777" w:rsidR="006039BB" w:rsidRPr="008D5D67" w:rsidRDefault="00C838AC" w:rsidP="008D5D67">
      <w:pPr>
        <w:tabs>
          <w:tab w:val="left" w:pos="82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в)</w:t>
      </w:r>
      <w:r w:rsidRPr="008D5D67">
        <w:rPr>
          <w:rFonts w:ascii="Times New Roman" w:hAnsi="Times New Roman"/>
        </w:rPr>
        <w:tab/>
        <w:t>способы индуктивного подхода, такие как логические диа</w:t>
      </w:r>
      <w:r w:rsidRPr="008D5D67">
        <w:rPr>
          <w:rFonts w:ascii="Times New Roman" w:hAnsi="Times New Roman"/>
        </w:rPr>
        <w:softHyphen/>
        <w:t>граммы возможных следствий данного события (логические диа</w:t>
      </w:r>
      <w:r w:rsidRPr="008D5D67">
        <w:rPr>
          <w:rFonts w:ascii="Times New Roman" w:hAnsi="Times New Roman"/>
        </w:rPr>
        <w:softHyphen/>
        <w:t>граммы «дерева событий»).</w:t>
      </w:r>
    </w:p>
    <w:p w14:paraId="40FFA0E4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После идентификации того,</w:t>
      </w:r>
      <w:r w:rsidRPr="008D5D67">
        <w:rPr>
          <w:rFonts w:ascii="Times New Roman" w:hAnsi="Times New Roman"/>
        </w:rPr>
        <w:t xml:space="preserve"> какое событие, связанное с риском, может произойти, следующим шагом становится прогнозирование сценариев того, каким образом источник </w:t>
      </w:r>
      <w:r w:rsidRPr="008D5D67">
        <w:rPr>
          <w:rFonts w:ascii="Times New Roman" w:hAnsi="Times New Roman"/>
        </w:rPr>
        <w:lastRenderedPageBreak/>
        <w:t>риска и событие могут при</w:t>
      </w:r>
      <w:r w:rsidRPr="008D5D67">
        <w:rPr>
          <w:rFonts w:ascii="Times New Roman" w:hAnsi="Times New Roman"/>
        </w:rPr>
        <w:softHyphen/>
        <w:t>вести к ущербу.</w:t>
      </w:r>
    </w:p>
    <w:p w14:paraId="29CC27F7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Анализ рисков — прогноз последствий, определение вероятности возникновения и, с</w:t>
      </w:r>
      <w:r w:rsidRPr="008D5D67">
        <w:rPr>
          <w:rFonts w:ascii="Times New Roman" w:hAnsi="Times New Roman"/>
        </w:rPr>
        <w:t>ледовательно, уровня риска, а также предпосылок и факторов развития рисковых ситуаций.</w:t>
      </w:r>
    </w:p>
    <w:p w14:paraId="1826001B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В общем виде оценка — процедура определения уровня, значения, соотнесение с принятым критерием, процесс определения реального состояния объекта (процесса, явления, систе</w:t>
      </w:r>
      <w:r w:rsidRPr="008D5D67">
        <w:rPr>
          <w:rFonts w:ascii="Times New Roman" w:hAnsi="Times New Roman"/>
        </w:rPr>
        <w:t>мы) по отношению к желаемому состоянию.</w:t>
      </w:r>
    </w:p>
    <w:p w14:paraId="04DEC954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Оценка рисков — сравнение уровня риска с ранее установленными критериями. Определяется баланс между потенциальными выгодами и негативными последствиями. Это позволяет принимать решения о масштабе и характере рисковог</w:t>
      </w:r>
      <w:r w:rsidRPr="008D5D67">
        <w:rPr>
          <w:rFonts w:ascii="Times New Roman" w:hAnsi="Times New Roman"/>
        </w:rPr>
        <w:t>о решения, управляющего воздей</w:t>
      </w:r>
      <w:r w:rsidRPr="008D5D67">
        <w:rPr>
          <w:rFonts w:ascii="Times New Roman" w:hAnsi="Times New Roman"/>
        </w:rPr>
        <w:softHyphen/>
        <w:t>ствия на риск, а также определять приоритетные направления дея</w:t>
      </w:r>
      <w:r w:rsidRPr="008D5D67">
        <w:rPr>
          <w:rFonts w:ascii="Times New Roman" w:hAnsi="Times New Roman"/>
        </w:rPr>
        <w:softHyphen/>
        <w:t>тельности, связанной с управлением рисками.</w:t>
      </w:r>
    </w:p>
    <w:p w14:paraId="71DE53DC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Цель оценки рисков — формирование полной картины рисков, угрожающих бизнесу организации. В данном случае важно не толь</w:t>
      </w:r>
      <w:r w:rsidRPr="008D5D67">
        <w:rPr>
          <w:rFonts w:ascii="Times New Roman" w:hAnsi="Times New Roman"/>
        </w:rPr>
        <w:t>ко сформировать перечень рисков, но и выявить то, как эти риски могут повлиять на деятельность организации и какие последствия может иметь реализация рисковой ситуации.</w:t>
      </w:r>
    </w:p>
    <w:p w14:paraId="79440F89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Качественный анализ — обнаружение рисков, исследование их особенностей, выявление после</w:t>
      </w:r>
      <w:r w:rsidRPr="008D5D67">
        <w:rPr>
          <w:rFonts w:ascii="Times New Roman" w:hAnsi="Times New Roman"/>
        </w:rPr>
        <w:t>дствий реализации соответствующих рисков в форме экономического ущерба, раскрытие источников ин</w:t>
      </w:r>
      <w:r w:rsidRPr="008D5D67">
        <w:rPr>
          <w:rFonts w:ascii="Times New Roman" w:hAnsi="Times New Roman"/>
        </w:rPr>
        <w:softHyphen/>
        <w:t>формации относительно каждого риска; классификация выявленных рисков.</w:t>
      </w:r>
    </w:p>
    <w:p w14:paraId="4314FB46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В процессе качественного анализа может быть выделена разно</w:t>
      </w:r>
      <w:r w:rsidRPr="008D5D67">
        <w:rPr>
          <w:rFonts w:ascii="Times New Roman" w:hAnsi="Times New Roman"/>
        </w:rPr>
        <w:softHyphen/>
        <w:t>образная группа рисков, с котор</w:t>
      </w:r>
      <w:r w:rsidRPr="008D5D67">
        <w:rPr>
          <w:rFonts w:ascii="Times New Roman" w:hAnsi="Times New Roman"/>
        </w:rPr>
        <w:t>ыми придется столкнуться органи</w:t>
      </w:r>
      <w:r w:rsidRPr="008D5D67">
        <w:rPr>
          <w:rFonts w:ascii="Times New Roman" w:hAnsi="Times New Roman"/>
        </w:rPr>
        <w:softHyphen/>
        <w:t>зации: от землетрясений до колебаний валютного курса и пр. Веро</w:t>
      </w:r>
      <w:r w:rsidRPr="008D5D67">
        <w:rPr>
          <w:rFonts w:ascii="Times New Roman" w:hAnsi="Times New Roman"/>
        </w:rPr>
        <w:softHyphen/>
        <w:t>ятность проявления каждого из рисков различна, поэтому разным может быть и ущерб (убытки). Их количественная оценка позволит выделить риски наиболее вероятные п</w:t>
      </w:r>
      <w:r w:rsidRPr="008D5D67">
        <w:rPr>
          <w:rFonts w:ascii="Times New Roman" w:hAnsi="Times New Roman"/>
        </w:rPr>
        <w:t>о возникновению и весомые по величине потерь.</w:t>
      </w:r>
    </w:p>
    <w:p w14:paraId="16F873B0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Количественный анализ — количественное определение отдельных рисков — вычисление вероятности наступления рисковых событий и их последствий, количественная оценка степени (уровня) риска, определение в данной сит</w:t>
      </w:r>
      <w:r w:rsidRPr="008D5D67">
        <w:rPr>
          <w:rFonts w:ascii="Times New Roman" w:hAnsi="Times New Roman"/>
        </w:rPr>
        <w:t>уации уровня риска.</w:t>
      </w:r>
    </w:p>
    <w:p w14:paraId="547AF6CF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Способ определения уровня приемлемого риска — установление по</w:t>
      </w:r>
      <w:r w:rsidRPr="008D5D67">
        <w:rPr>
          <w:rFonts w:ascii="Times New Roman" w:hAnsi="Times New Roman"/>
        </w:rPr>
        <w:softHyphen/>
        <w:t xml:space="preserve">роговых значений риска в виде интервалов возможных значений </w:t>
      </w:r>
      <w:proofErr w:type="spellStart"/>
      <w:r w:rsidRPr="008D5D67">
        <w:rPr>
          <w:rFonts w:ascii="Times New Roman" w:hAnsi="Times New Roman"/>
        </w:rPr>
        <w:t>критериальных</w:t>
      </w:r>
      <w:proofErr w:type="spellEnd"/>
      <w:r w:rsidRPr="008D5D67">
        <w:rPr>
          <w:rFonts w:ascii="Times New Roman" w:hAnsi="Times New Roman"/>
        </w:rPr>
        <w:t xml:space="preserve"> показателей.</w:t>
      </w:r>
    </w:p>
    <w:p w14:paraId="0C5B552B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Интервалы возможных значений </w:t>
      </w:r>
      <w:proofErr w:type="spellStart"/>
      <w:r w:rsidRPr="008D5D67">
        <w:rPr>
          <w:rFonts w:ascii="Times New Roman" w:hAnsi="Times New Roman"/>
        </w:rPr>
        <w:t>критериальных</w:t>
      </w:r>
      <w:proofErr w:type="spellEnd"/>
      <w:r w:rsidRPr="008D5D67">
        <w:rPr>
          <w:rFonts w:ascii="Times New Roman" w:hAnsi="Times New Roman"/>
        </w:rPr>
        <w:t xml:space="preserve"> показателей дея</w:t>
      </w:r>
      <w:r w:rsidRPr="008D5D67">
        <w:rPr>
          <w:rFonts w:ascii="Times New Roman" w:hAnsi="Times New Roman"/>
        </w:rPr>
        <w:softHyphen/>
        <w:t>тельности организации и разв</w:t>
      </w:r>
      <w:r w:rsidRPr="008D5D67">
        <w:rPr>
          <w:rFonts w:ascii="Times New Roman" w:hAnsi="Times New Roman"/>
        </w:rPr>
        <w:t>ития внешней среды — целевые пред</w:t>
      </w:r>
      <w:r w:rsidRPr="008D5D67">
        <w:rPr>
          <w:rFonts w:ascii="Times New Roman" w:hAnsi="Times New Roman"/>
        </w:rPr>
        <w:softHyphen/>
        <w:t>писания для процесса управления рисками, инструмент согласова</w:t>
      </w:r>
      <w:r w:rsidRPr="008D5D67">
        <w:rPr>
          <w:rFonts w:ascii="Times New Roman" w:hAnsi="Times New Roman"/>
        </w:rPr>
        <w:softHyphen/>
        <w:t>ния методов управления и оценки эффективности управления рис</w:t>
      </w:r>
      <w:r w:rsidRPr="008D5D67">
        <w:rPr>
          <w:rFonts w:ascii="Times New Roman" w:hAnsi="Times New Roman"/>
        </w:rPr>
        <w:softHyphen/>
        <w:t>ком в целом.</w:t>
      </w:r>
    </w:p>
    <w:p w14:paraId="26DF10AA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Пороговые значения определяются финансовыми возможно</w:t>
      </w:r>
      <w:r w:rsidRPr="008D5D67">
        <w:rPr>
          <w:rFonts w:ascii="Times New Roman" w:hAnsi="Times New Roman"/>
        </w:rPr>
        <w:softHyphen/>
        <w:t xml:space="preserve">стями организации, ее стратегией </w:t>
      </w:r>
      <w:r w:rsidRPr="008D5D67">
        <w:rPr>
          <w:rFonts w:ascii="Times New Roman" w:hAnsi="Times New Roman"/>
        </w:rPr>
        <w:t>управления, а также выбранной стратегией управления рисками.</w:t>
      </w:r>
    </w:p>
    <w:p w14:paraId="568F0C85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В качестве </w:t>
      </w:r>
      <w:proofErr w:type="spellStart"/>
      <w:r w:rsidRPr="008D5D67">
        <w:rPr>
          <w:rFonts w:ascii="Times New Roman" w:hAnsi="Times New Roman"/>
        </w:rPr>
        <w:t>критериальных</w:t>
      </w:r>
      <w:proofErr w:type="spellEnd"/>
      <w:r w:rsidRPr="008D5D67">
        <w:rPr>
          <w:rFonts w:ascii="Times New Roman" w:hAnsi="Times New Roman"/>
        </w:rPr>
        <w:t xml:space="preserve"> показателей используются т.н. меры риска, т.е. величины, численно выражающие размер соответству</w:t>
      </w:r>
      <w:r w:rsidRPr="008D5D67">
        <w:rPr>
          <w:rFonts w:ascii="Times New Roman" w:hAnsi="Times New Roman"/>
        </w:rPr>
        <w:softHyphen/>
        <w:t>ющего риска, например размер ущерба и/или вероятность его возник</w:t>
      </w:r>
      <w:r w:rsidRPr="008D5D67">
        <w:rPr>
          <w:rFonts w:ascii="Times New Roman" w:hAnsi="Times New Roman"/>
        </w:rPr>
        <w:softHyphen/>
        <w:t>новения.</w:t>
      </w:r>
    </w:p>
    <w:p w14:paraId="48E01E16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Ограничения (пороговые значения) для указанных </w:t>
      </w:r>
      <w:proofErr w:type="spellStart"/>
      <w:r w:rsidRPr="008D5D67">
        <w:rPr>
          <w:rFonts w:ascii="Times New Roman" w:hAnsi="Times New Roman"/>
        </w:rPr>
        <w:t>критериаль</w:t>
      </w:r>
      <w:r w:rsidRPr="008D5D67">
        <w:rPr>
          <w:rFonts w:ascii="Times New Roman" w:hAnsi="Times New Roman"/>
        </w:rPr>
        <w:softHyphen/>
        <w:t>ных</w:t>
      </w:r>
      <w:proofErr w:type="spellEnd"/>
      <w:r w:rsidRPr="008D5D67">
        <w:rPr>
          <w:rFonts w:ascii="Times New Roman" w:hAnsi="Times New Roman"/>
        </w:rPr>
        <w:t xml:space="preserve"> показателей записываются так:</w:t>
      </w:r>
    </w:p>
    <w:p w14:paraId="58EF0EAD" w14:textId="77777777" w:rsidR="006039BB" w:rsidRPr="008D5D67" w:rsidRDefault="00C838AC" w:rsidP="008D5D67">
      <w:pPr>
        <w:tabs>
          <w:tab w:val="left" w:pos="1008"/>
          <w:tab w:val="left" w:pos="2166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р </w:t>
      </w:r>
      <w:proofErr w:type="gramStart"/>
      <w:r w:rsidRPr="008D5D67">
        <w:rPr>
          <w:rFonts w:ascii="Times New Roman" w:hAnsi="Times New Roman"/>
        </w:rPr>
        <w:t>&lt; р</w:t>
      </w:r>
      <w:proofErr w:type="gramEnd"/>
      <w:r w:rsidRPr="008D5D67">
        <w:rPr>
          <w:rFonts w:ascii="Times New Roman" w:hAnsi="Times New Roman"/>
        </w:rPr>
        <w:t xml:space="preserve"> &lt; р </w:t>
      </w:r>
      <w:r w:rsidRPr="008D5D67">
        <w:rPr>
          <w:rFonts w:ascii="Times New Roman" w:hAnsi="Times New Roman"/>
          <w:lang w:val="en-US" w:eastAsia="en-US" w:bidi="en-US"/>
        </w:rPr>
        <w:t>min</w:t>
      </w:r>
      <w:r w:rsidRPr="008D5D67">
        <w:rPr>
          <w:rFonts w:ascii="Times New Roman" w:hAnsi="Times New Roman"/>
          <w:lang w:eastAsia="en-US" w:bidi="en-US"/>
        </w:rPr>
        <w:tab/>
      </w:r>
      <w:r w:rsidRPr="008D5D67">
        <w:rPr>
          <w:rFonts w:ascii="Times New Roman" w:hAnsi="Times New Roman"/>
        </w:rPr>
        <w:t>ущерб</w:t>
      </w:r>
      <w:r w:rsidRPr="008D5D67">
        <w:rPr>
          <w:rFonts w:ascii="Times New Roman" w:hAnsi="Times New Roman"/>
        </w:rPr>
        <w:tab/>
      </w:r>
      <w:r w:rsidRPr="008D5D67">
        <w:rPr>
          <w:rFonts w:ascii="Times New Roman" w:hAnsi="Times New Roman"/>
          <w:lang w:val="en-US" w:eastAsia="en-US" w:bidi="en-US"/>
        </w:rPr>
        <w:t>max</w:t>
      </w:r>
      <w:r w:rsidRPr="008D5D67">
        <w:rPr>
          <w:rFonts w:ascii="Times New Roman" w:hAnsi="Times New Roman"/>
          <w:lang w:eastAsia="en-US" w:bidi="en-US"/>
        </w:rPr>
        <w:t>’</w:t>
      </w:r>
    </w:p>
    <w:p w14:paraId="6612F722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  <w:lang w:val="en-US"/>
        </w:rPr>
      </w:pPr>
      <w:proofErr w:type="gramStart"/>
      <w:r w:rsidRPr="008D5D67">
        <w:rPr>
          <w:rFonts w:ascii="Times New Roman" w:hAnsi="Times New Roman"/>
          <w:lang w:val="en-US"/>
        </w:rPr>
        <w:t>V .</w:t>
      </w:r>
      <w:proofErr w:type="gramEnd"/>
      <w:r w:rsidRPr="008D5D67">
        <w:rPr>
          <w:rFonts w:ascii="Times New Roman" w:hAnsi="Times New Roman"/>
          <w:lang w:val="en-US"/>
        </w:rPr>
        <w:t xml:space="preserve"> &lt; V </w:t>
      </w:r>
      <w:r w:rsidRPr="008D5D67">
        <w:rPr>
          <w:rFonts w:ascii="Times New Roman" w:hAnsi="Times New Roman"/>
          <w:lang w:val="en-US" w:eastAsia="en-US" w:bidi="en-US"/>
        </w:rPr>
        <w:t>r</w:t>
      </w:r>
      <w:r w:rsidRPr="008D5D67">
        <w:rPr>
          <w:rFonts w:ascii="Times New Roman" w:hAnsi="Times New Roman"/>
          <w:lang w:val="en-US" w:eastAsia="en-US" w:bidi="en-US"/>
        </w:rPr>
        <w:t>&lt;</w:t>
      </w:r>
      <w:proofErr w:type="gramStart"/>
      <w:r w:rsidRPr="008D5D67">
        <w:rPr>
          <w:rFonts w:ascii="Times New Roman" w:hAnsi="Times New Roman"/>
          <w:lang w:val="en-US" w:eastAsia="en-US" w:bidi="en-US"/>
        </w:rPr>
        <w:t xml:space="preserve">V </w:t>
      </w:r>
      <w:r w:rsidRPr="008D5D67">
        <w:rPr>
          <w:rFonts w:ascii="Times New Roman" w:hAnsi="Times New Roman"/>
          <w:lang w:val="en-US"/>
        </w:rPr>
        <w:t>;</w:t>
      </w:r>
      <w:proofErr w:type="gramEnd"/>
    </w:p>
    <w:p w14:paraId="009FCFF6" w14:textId="77777777" w:rsidR="006039BB" w:rsidRPr="008D5D67" w:rsidRDefault="00C838AC" w:rsidP="008D5D67">
      <w:pPr>
        <w:tabs>
          <w:tab w:val="left" w:pos="840"/>
          <w:tab w:val="left" w:pos="1998"/>
        </w:tabs>
        <w:ind w:firstLine="709"/>
        <w:jc w:val="both"/>
        <w:rPr>
          <w:rFonts w:ascii="Times New Roman" w:hAnsi="Times New Roman"/>
          <w:lang w:val="en-US"/>
        </w:rPr>
      </w:pPr>
      <w:r w:rsidRPr="008D5D67">
        <w:rPr>
          <w:rFonts w:ascii="Times New Roman" w:hAnsi="Times New Roman"/>
          <w:lang w:val="en-US" w:eastAsia="en-US" w:bidi="en-US"/>
        </w:rPr>
        <w:t>min</w:t>
      </w:r>
      <w:r w:rsidRPr="008D5D67">
        <w:rPr>
          <w:rFonts w:ascii="Times New Roman" w:hAnsi="Times New Roman"/>
          <w:lang w:val="en-US" w:eastAsia="en-US" w:bidi="en-US"/>
        </w:rPr>
        <w:tab/>
      </w:r>
      <w:r w:rsidRPr="008D5D67">
        <w:rPr>
          <w:rFonts w:ascii="Times New Roman" w:hAnsi="Times New Roman"/>
        </w:rPr>
        <w:t>ущерб</w:t>
      </w:r>
      <w:r w:rsidRPr="008D5D67">
        <w:rPr>
          <w:rFonts w:ascii="Times New Roman" w:hAnsi="Times New Roman"/>
          <w:lang w:val="en-US"/>
        </w:rPr>
        <w:tab/>
      </w:r>
      <w:r w:rsidRPr="008D5D67">
        <w:rPr>
          <w:rFonts w:ascii="Times New Roman" w:hAnsi="Times New Roman"/>
          <w:lang w:val="en-US" w:eastAsia="en-US" w:bidi="en-US"/>
        </w:rPr>
        <w:t>max’</w:t>
      </w:r>
    </w:p>
    <w:p w14:paraId="0DF9C678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^ущерб - вероятность ущерба, </w:t>
      </w:r>
      <w:proofErr w:type="spellStart"/>
      <w:r w:rsidRPr="008D5D67">
        <w:rPr>
          <w:rFonts w:ascii="Times New Roman" w:hAnsi="Times New Roman"/>
        </w:rPr>
        <w:t>И</w:t>
      </w:r>
      <w:r w:rsidRPr="008D5D67">
        <w:rPr>
          <w:rFonts w:ascii="Times New Roman" w:hAnsi="Times New Roman"/>
        </w:rPr>
        <w:t>ущерб</w:t>
      </w:r>
      <w:proofErr w:type="spellEnd"/>
      <w:r w:rsidRPr="008D5D67">
        <w:rPr>
          <w:rFonts w:ascii="Times New Roman" w:hAnsi="Times New Roman"/>
        </w:rPr>
        <w:t xml:space="preserve"> — величина ущерба.</w:t>
      </w:r>
    </w:p>
    <w:p w14:paraId="423FA29E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Для совокупности рисков организации выбирают </w:t>
      </w:r>
      <w:r w:rsidRPr="008D5D67">
        <w:rPr>
          <w:rFonts w:ascii="Times New Roman" w:hAnsi="Times New Roman"/>
        </w:rPr>
        <w:t>соответству</w:t>
      </w:r>
      <w:r w:rsidRPr="008D5D67">
        <w:rPr>
          <w:rFonts w:ascii="Times New Roman" w:hAnsi="Times New Roman"/>
        </w:rPr>
        <w:softHyphen/>
        <w:t xml:space="preserve">ющий </w:t>
      </w:r>
      <w:proofErr w:type="spellStart"/>
      <w:r w:rsidRPr="008D5D67">
        <w:rPr>
          <w:rFonts w:ascii="Times New Roman" w:hAnsi="Times New Roman"/>
        </w:rPr>
        <w:t>критериальный</w:t>
      </w:r>
      <w:proofErr w:type="spellEnd"/>
      <w:r w:rsidRPr="008D5D67">
        <w:rPr>
          <w:rFonts w:ascii="Times New Roman" w:hAnsi="Times New Roman"/>
        </w:rPr>
        <w:t xml:space="preserve"> показатель (например, размер возможного убытка) по всей совокупности рисков.</w:t>
      </w:r>
    </w:p>
    <w:p w14:paraId="1E4E4F25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Способы оценки рисков:</w:t>
      </w:r>
    </w:p>
    <w:p w14:paraId="3D3F0207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статистические;</w:t>
      </w:r>
    </w:p>
    <w:p w14:paraId="353D9A3D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экспертные;</w:t>
      </w:r>
    </w:p>
    <w:p w14:paraId="1752EBE2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расчетно-аналитические;</w:t>
      </w:r>
    </w:p>
    <w:p w14:paraId="632FE8C8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аналоговые.</w:t>
      </w:r>
    </w:p>
    <w:p w14:paraId="40023CE3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lastRenderedPageBreak/>
        <w:t xml:space="preserve">Статистические методы оценки — </w:t>
      </w:r>
      <w:r w:rsidRPr="008D5D67">
        <w:rPr>
          <w:rFonts w:ascii="Times New Roman" w:hAnsi="Times New Roman"/>
        </w:rPr>
        <w:t>исследование статистики убыт</w:t>
      </w:r>
      <w:r w:rsidRPr="008D5D67">
        <w:rPr>
          <w:rFonts w:ascii="Times New Roman" w:hAnsi="Times New Roman"/>
        </w:rPr>
        <w:softHyphen/>
        <w:t>ков, ущерба, имевших место в аналогичных видах предприниматель</w:t>
      </w:r>
      <w:r w:rsidRPr="008D5D67">
        <w:rPr>
          <w:rFonts w:ascii="Times New Roman" w:hAnsi="Times New Roman"/>
        </w:rPr>
        <w:softHyphen/>
        <w:t>ской деятельности, установление частоты появления определенных уровней ущерба. Показатели:</w:t>
      </w:r>
    </w:p>
    <w:p w14:paraId="30E6B073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среднее ожидаемое значение результата;</w:t>
      </w:r>
    </w:p>
    <w:p w14:paraId="1D0BF968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среднеквадратическое отклонени</w:t>
      </w:r>
      <w:r w:rsidRPr="008D5D67">
        <w:rPr>
          <w:rFonts w:ascii="Times New Roman" w:hAnsi="Times New Roman"/>
        </w:rPr>
        <w:t>е;</w:t>
      </w:r>
    </w:p>
    <w:p w14:paraId="6F6BC526" w14:textId="77777777" w:rsidR="006039BB" w:rsidRPr="008D5D67" w:rsidRDefault="00C838AC" w:rsidP="008D5D67">
      <w:pPr>
        <w:tabs>
          <w:tab w:val="left" w:pos="372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коэффициент вариации и др.</w:t>
      </w:r>
    </w:p>
    <w:p w14:paraId="14772FC1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Величина риска как вероятность нежелательных потерь (исхода) может быть установлена на основе эмпирической шкалы уровня риска (табл. 4.1).</w:t>
      </w:r>
    </w:p>
    <w:p w14:paraId="3B6FB6C9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Таблица 4.1</w:t>
      </w:r>
    </w:p>
    <w:p w14:paraId="47C41549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Эмпирическая шкала уровня риска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380"/>
        <w:gridCol w:w="4392"/>
      </w:tblGrid>
      <w:tr w:rsidR="006039BB" w:rsidRPr="008D5D67" w14:paraId="7AEBD18E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16A4F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№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83BE8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Вероятность нежелательного исхода (вели</w:t>
            </w:r>
            <w:r w:rsidRPr="008D5D67">
              <w:rPr>
                <w:rFonts w:ascii="Times New Roman" w:hAnsi="Times New Roman"/>
              </w:rPr>
              <w:t>чина риска)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F9A3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Наименование градаций риска</w:t>
            </w:r>
          </w:p>
        </w:tc>
      </w:tr>
      <w:tr w:rsidR="006039BB" w:rsidRPr="008D5D67" w14:paraId="08CA54E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D331A4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44090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0,0-0,1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A1F0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минимальный</w:t>
            </w:r>
          </w:p>
        </w:tc>
      </w:tr>
      <w:tr w:rsidR="006039BB" w:rsidRPr="008D5D67" w14:paraId="0110395D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8A851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E0950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0,1-0,3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0C64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малый</w:t>
            </w:r>
          </w:p>
        </w:tc>
      </w:tr>
      <w:tr w:rsidR="006039BB" w:rsidRPr="008D5D67" w14:paraId="63A52070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560E0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26524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0,3-0,4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ED5F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средний</w:t>
            </w:r>
          </w:p>
        </w:tc>
      </w:tr>
      <w:tr w:rsidR="006039BB" w:rsidRPr="008D5D67" w14:paraId="5175C2BE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A5B1A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5DC4B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0,4-0,6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2003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высокий</w:t>
            </w:r>
          </w:p>
        </w:tc>
      </w:tr>
      <w:tr w:rsidR="006039BB" w:rsidRPr="008D5D67" w14:paraId="64F4DA4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CE0F2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E694C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0,6-0,8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6A17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максимальный</w:t>
            </w:r>
          </w:p>
        </w:tc>
      </w:tr>
      <w:tr w:rsidR="006039BB" w:rsidRPr="008D5D67" w14:paraId="458E35EE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65F104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DBF488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0,8-1,0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C338" w14:textId="77777777" w:rsidR="006039BB" w:rsidRPr="008D5D67" w:rsidRDefault="00C838AC" w:rsidP="008D5D67">
            <w:pPr>
              <w:ind w:firstLine="709"/>
              <w:jc w:val="both"/>
              <w:rPr>
                <w:rFonts w:ascii="Times New Roman" w:hAnsi="Times New Roman"/>
              </w:rPr>
            </w:pPr>
            <w:r w:rsidRPr="008D5D67">
              <w:rPr>
                <w:rFonts w:ascii="Times New Roman" w:hAnsi="Times New Roman"/>
              </w:rPr>
              <w:t>критический</w:t>
            </w:r>
          </w:p>
        </w:tc>
      </w:tr>
    </w:tbl>
    <w:p w14:paraId="7BB7BC4E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Статистический метод требует наличия информационной базы, данных </w:t>
      </w:r>
      <w:r w:rsidRPr="008D5D67">
        <w:rPr>
          <w:rFonts w:ascii="Times New Roman" w:hAnsi="Times New Roman"/>
        </w:rPr>
        <w:t>исследований.</w:t>
      </w:r>
    </w:p>
    <w:p w14:paraId="52BFFC2A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Экспертные методы оценки — методы прогнозирования и анализа рисков, основанные на заключениях экспертов, получение количе</w:t>
      </w:r>
      <w:r w:rsidRPr="008D5D67">
        <w:rPr>
          <w:rFonts w:ascii="Times New Roman" w:hAnsi="Times New Roman"/>
        </w:rPr>
        <w:softHyphen/>
        <w:t>ственных оценок риска на основании обработки мнений экспертов или специалистов.</w:t>
      </w:r>
    </w:p>
    <w:p w14:paraId="2A39AC9A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Эксперт — специалист, </w:t>
      </w:r>
      <w:r w:rsidRPr="008D5D67">
        <w:rPr>
          <w:rFonts w:ascii="Times New Roman" w:hAnsi="Times New Roman"/>
        </w:rPr>
        <w:t>использующий свои способности (знания, умение, опыт, интуицию и т.п.) для нахождения наиболее эффектив</w:t>
      </w:r>
      <w:r w:rsidRPr="008D5D67">
        <w:rPr>
          <w:rFonts w:ascii="Times New Roman" w:hAnsi="Times New Roman"/>
        </w:rPr>
        <w:softHyphen/>
        <w:t>ного решения.</w:t>
      </w:r>
    </w:p>
    <w:p w14:paraId="019F6584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Этот метод применяется в случае недостатка или отсутствия до</w:t>
      </w:r>
      <w:r w:rsidRPr="008D5D67">
        <w:rPr>
          <w:rFonts w:ascii="Times New Roman" w:hAnsi="Times New Roman"/>
        </w:rPr>
        <w:softHyphen/>
        <w:t>стоверной информации.</w:t>
      </w:r>
    </w:p>
    <w:p w14:paraId="5B063D10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Группы экспертных методов оценки:</w:t>
      </w:r>
    </w:p>
    <w:p w14:paraId="19616CED" w14:textId="77777777" w:rsidR="006039BB" w:rsidRPr="008D5D67" w:rsidRDefault="00C838AC" w:rsidP="008D5D67">
      <w:pPr>
        <w:tabs>
          <w:tab w:val="left" w:pos="870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I)</w:t>
      </w:r>
      <w:r w:rsidRPr="008D5D67">
        <w:rPr>
          <w:rFonts w:ascii="Times New Roman" w:hAnsi="Times New Roman"/>
        </w:rPr>
        <w:tab/>
        <w:t xml:space="preserve">методы, основанные </w:t>
      </w:r>
      <w:r w:rsidRPr="008D5D67">
        <w:rPr>
          <w:rFonts w:ascii="Times New Roman" w:hAnsi="Times New Roman"/>
        </w:rPr>
        <w:t>на открытом обсуждении поставленных вопросов с последующим открытым или закрытым голосованием;</w:t>
      </w:r>
    </w:p>
    <w:p w14:paraId="499C846F" w14:textId="77777777" w:rsidR="006039BB" w:rsidRPr="008D5D67" w:rsidRDefault="00C838AC" w:rsidP="008D5D67">
      <w:pPr>
        <w:tabs>
          <w:tab w:val="left" w:pos="88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2)</w:t>
      </w:r>
      <w:r w:rsidRPr="008D5D67">
        <w:rPr>
          <w:rFonts w:ascii="Times New Roman" w:hAnsi="Times New Roman"/>
        </w:rPr>
        <w:tab/>
        <w:t>методы, основанные на свободном высказывании без обсуж</w:t>
      </w:r>
      <w:r w:rsidRPr="008D5D67">
        <w:rPr>
          <w:rFonts w:ascii="Times New Roman" w:hAnsi="Times New Roman"/>
        </w:rPr>
        <w:softHyphen/>
        <w:t>дения и голосования — например, метод мозговой атаки;</w:t>
      </w:r>
    </w:p>
    <w:p w14:paraId="149162FB" w14:textId="77777777" w:rsidR="006039BB" w:rsidRPr="008D5D67" w:rsidRDefault="00C838AC" w:rsidP="008D5D67">
      <w:pPr>
        <w:tabs>
          <w:tab w:val="left" w:pos="88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3)</w:t>
      </w:r>
      <w:r w:rsidRPr="008D5D67">
        <w:rPr>
          <w:rFonts w:ascii="Times New Roman" w:hAnsi="Times New Roman"/>
        </w:rPr>
        <w:tab/>
        <w:t>закрытое обсуждение с последующим закрытым гол</w:t>
      </w:r>
      <w:r w:rsidRPr="008D5D67">
        <w:rPr>
          <w:rFonts w:ascii="Times New Roman" w:hAnsi="Times New Roman"/>
        </w:rPr>
        <w:t>осова</w:t>
      </w:r>
      <w:r w:rsidRPr="008D5D67">
        <w:rPr>
          <w:rFonts w:ascii="Times New Roman" w:hAnsi="Times New Roman"/>
        </w:rPr>
        <w:softHyphen/>
        <w:t xml:space="preserve">нием или заполнением анкет экспертного опроса — например, метод </w:t>
      </w:r>
      <w:proofErr w:type="spellStart"/>
      <w:r w:rsidRPr="008D5D67">
        <w:rPr>
          <w:rFonts w:ascii="Times New Roman" w:hAnsi="Times New Roman"/>
        </w:rPr>
        <w:t>Дельфи</w:t>
      </w:r>
      <w:proofErr w:type="spellEnd"/>
      <w:r w:rsidRPr="008D5D67">
        <w:rPr>
          <w:rFonts w:ascii="Times New Roman" w:hAnsi="Times New Roman"/>
        </w:rPr>
        <w:t>.</w:t>
      </w:r>
    </w:p>
    <w:p w14:paraId="288EE3B1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Экспертные методы оценки:</w:t>
      </w:r>
    </w:p>
    <w:p w14:paraId="0CC1D319" w14:textId="77777777" w:rsidR="006039BB" w:rsidRPr="008D5D67" w:rsidRDefault="00C838AC" w:rsidP="008D5D67">
      <w:pPr>
        <w:tabs>
          <w:tab w:val="left" w:pos="37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 xml:space="preserve">метод </w:t>
      </w:r>
      <w:proofErr w:type="spellStart"/>
      <w:r w:rsidRPr="008D5D67">
        <w:rPr>
          <w:rFonts w:ascii="Times New Roman" w:hAnsi="Times New Roman"/>
        </w:rPr>
        <w:t>Дельфи</w:t>
      </w:r>
      <w:proofErr w:type="spellEnd"/>
      <w:r w:rsidRPr="008D5D67">
        <w:rPr>
          <w:rFonts w:ascii="Times New Roman" w:hAnsi="Times New Roman"/>
        </w:rPr>
        <w:t>;</w:t>
      </w:r>
    </w:p>
    <w:p w14:paraId="02CC18BD" w14:textId="77777777" w:rsidR="006039BB" w:rsidRPr="008D5D67" w:rsidRDefault="00C838AC" w:rsidP="008D5D67">
      <w:pPr>
        <w:tabs>
          <w:tab w:val="left" w:pos="37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ранжирование;</w:t>
      </w:r>
    </w:p>
    <w:p w14:paraId="6ADDB60B" w14:textId="77777777" w:rsidR="006039BB" w:rsidRPr="008D5D67" w:rsidRDefault="00C838AC" w:rsidP="008D5D67">
      <w:pPr>
        <w:tabs>
          <w:tab w:val="left" w:pos="37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метод парного сравнения;</w:t>
      </w:r>
    </w:p>
    <w:p w14:paraId="569DA45B" w14:textId="77777777" w:rsidR="006039BB" w:rsidRPr="008D5D67" w:rsidRDefault="00C838AC" w:rsidP="008D5D67">
      <w:pPr>
        <w:tabs>
          <w:tab w:val="left" w:pos="378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•</w:t>
      </w:r>
      <w:r w:rsidRPr="008D5D67">
        <w:rPr>
          <w:rFonts w:ascii="Times New Roman" w:hAnsi="Times New Roman"/>
        </w:rPr>
        <w:tab/>
        <w:t>метод балльной оценки риска.</w:t>
      </w:r>
    </w:p>
    <w:p w14:paraId="78B7183D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Метод </w:t>
      </w:r>
      <w:proofErr w:type="spellStart"/>
      <w:r w:rsidRPr="008D5D67">
        <w:rPr>
          <w:rFonts w:ascii="Times New Roman" w:hAnsi="Times New Roman"/>
        </w:rPr>
        <w:t>Дельфи</w:t>
      </w:r>
      <w:proofErr w:type="spellEnd"/>
      <w:r w:rsidRPr="008D5D67">
        <w:rPr>
          <w:rFonts w:ascii="Times New Roman" w:hAnsi="Times New Roman"/>
        </w:rPr>
        <w:t xml:space="preserve"> — способ оценки риска, позволяющий учесть не</w:t>
      </w:r>
      <w:r w:rsidRPr="008D5D67">
        <w:rPr>
          <w:rFonts w:ascii="Times New Roman" w:hAnsi="Times New Roman"/>
        </w:rPr>
        <w:softHyphen/>
      </w:r>
      <w:r w:rsidRPr="008D5D67">
        <w:rPr>
          <w:rFonts w:ascii="Times New Roman" w:hAnsi="Times New Roman"/>
        </w:rPr>
        <w:t>зависимое мнение всех участников группы экспертов по обсуждае</w:t>
      </w:r>
      <w:r w:rsidRPr="008D5D67">
        <w:rPr>
          <w:rFonts w:ascii="Times New Roman" w:hAnsi="Times New Roman"/>
        </w:rPr>
        <w:softHyphen/>
        <w:t xml:space="preserve">мой проблеме источника риска, вероятности </w:t>
      </w:r>
      <w:proofErr w:type="spellStart"/>
      <w:r w:rsidRPr="008D5D67">
        <w:rPr>
          <w:rFonts w:ascii="Times New Roman" w:hAnsi="Times New Roman"/>
        </w:rPr>
        <w:t>возниковения</w:t>
      </w:r>
      <w:proofErr w:type="spellEnd"/>
      <w:r w:rsidRPr="008D5D67">
        <w:rPr>
          <w:rFonts w:ascii="Times New Roman" w:hAnsi="Times New Roman"/>
        </w:rPr>
        <w:t xml:space="preserve"> рисковой ситуации, исхода, последствий. Предполагает последовательное объ</w:t>
      </w:r>
      <w:r w:rsidRPr="008D5D67">
        <w:rPr>
          <w:rFonts w:ascii="Times New Roman" w:hAnsi="Times New Roman"/>
        </w:rPr>
        <w:softHyphen/>
        <w:t>единение идей, выводов и предложений для дальнейшего их согла</w:t>
      </w:r>
      <w:r w:rsidRPr="008D5D67">
        <w:rPr>
          <w:rFonts w:ascii="Times New Roman" w:hAnsi="Times New Roman"/>
        </w:rPr>
        <w:softHyphen/>
        <w:t>сов</w:t>
      </w:r>
      <w:r w:rsidRPr="008D5D67">
        <w:rPr>
          <w:rFonts w:ascii="Times New Roman" w:hAnsi="Times New Roman"/>
        </w:rPr>
        <w:t>ания. Метод основан на многократных анонимных групповых интервью. Основа метода — принцип повышения уровня достовер</w:t>
      </w:r>
      <w:r w:rsidRPr="008D5D67">
        <w:rPr>
          <w:rFonts w:ascii="Times New Roman" w:hAnsi="Times New Roman"/>
        </w:rPr>
        <w:softHyphen/>
        <w:t>ности информации, получаемой от группы экспертов, т.е. коллек</w:t>
      </w:r>
      <w:r w:rsidRPr="008D5D67">
        <w:rPr>
          <w:rFonts w:ascii="Times New Roman" w:hAnsi="Times New Roman"/>
        </w:rPr>
        <w:softHyphen/>
        <w:t>тивных экспертных оценок. Использование этого метода дает воз</w:t>
      </w:r>
      <w:r w:rsidRPr="008D5D67">
        <w:rPr>
          <w:rFonts w:ascii="Times New Roman" w:hAnsi="Times New Roman"/>
        </w:rPr>
        <w:softHyphen/>
        <w:t>можность избежат</w:t>
      </w:r>
      <w:r w:rsidRPr="008D5D67">
        <w:rPr>
          <w:rFonts w:ascii="Times New Roman" w:hAnsi="Times New Roman"/>
        </w:rPr>
        <w:t>ь противоречий между экспертами в процессе оценки риска и получить независимые индивидуальные оценки.</w:t>
      </w:r>
    </w:p>
    <w:p w14:paraId="2329CC8E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Ранжирование — метод оценки рисков, при использовании кото</w:t>
      </w:r>
      <w:r w:rsidRPr="008D5D67">
        <w:rPr>
          <w:rFonts w:ascii="Times New Roman" w:hAnsi="Times New Roman"/>
        </w:rPr>
        <w:softHyphen/>
        <w:t xml:space="preserve">рого экспертам </w:t>
      </w:r>
      <w:r w:rsidRPr="008D5D67">
        <w:rPr>
          <w:rFonts w:ascii="Times New Roman" w:hAnsi="Times New Roman"/>
        </w:rPr>
        <w:lastRenderedPageBreak/>
        <w:t>предлагается присвоить числовые ранги каждому из приведенных в анкете факторов р</w:t>
      </w:r>
      <w:r w:rsidRPr="008D5D67">
        <w:rPr>
          <w:rFonts w:ascii="Times New Roman" w:hAnsi="Times New Roman"/>
        </w:rPr>
        <w:t>иска таким образом, чтобы фак</w:t>
      </w:r>
      <w:r w:rsidRPr="008D5D67">
        <w:rPr>
          <w:rFonts w:ascii="Times New Roman" w:hAnsi="Times New Roman"/>
        </w:rPr>
        <w:softHyphen/>
        <w:t xml:space="preserve">торы в итоге были </w:t>
      </w:r>
      <w:proofErr w:type="spellStart"/>
      <w:r w:rsidRPr="008D5D67">
        <w:rPr>
          <w:rFonts w:ascii="Times New Roman" w:hAnsi="Times New Roman"/>
        </w:rPr>
        <w:t>упорядоченны</w:t>
      </w:r>
      <w:proofErr w:type="spellEnd"/>
      <w:r w:rsidRPr="008D5D67">
        <w:rPr>
          <w:rFonts w:ascii="Times New Roman" w:hAnsi="Times New Roman"/>
        </w:rPr>
        <w:t xml:space="preserve"> в соответствии с убыванием их предпочтительности (в некоторых случаях допускается указание на равноценность). Ранг фактора риска — номер места, которое этот фактор занимает в ранжировании при обр</w:t>
      </w:r>
      <w:r w:rsidRPr="008D5D67">
        <w:rPr>
          <w:rFonts w:ascii="Times New Roman" w:hAnsi="Times New Roman"/>
        </w:rPr>
        <w:t>атной нумерации мест (от худшего к лучшему).</w:t>
      </w:r>
    </w:p>
    <w:p w14:paraId="159928BF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Ранжирование начинается с того, что эксперту предъявляются отобранные для сравнительной оценки факторы риска (желательно не более 20—30) для их упорядочения, например по вероятности реализации рисковой ситуации </w:t>
      </w:r>
      <w:r w:rsidRPr="008D5D67">
        <w:rPr>
          <w:rFonts w:ascii="Times New Roman" w:hAnsi="Times New Roman"/>
        </w:rPr>
        <w:t>или уровню ущерба. Если факторов риска больше 30, то целесообразно сначала разбиение факторов на типы.</w:t>
      </w:r>
    </w:p>
    <w:p w14:paraId="2FBCF3F7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Способы ранжирования:</w:t>
      </w:r>
    </w:p>
    <w:p w14:paraId="7EE816A1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I. Эксперту предъявляется вся совокупность (перечень) факторов риска, и он указывает среди них, например, имеющий наибольшую вероят</w:t>
      </w:r>
      <w:r w:rsidRPr="008D5D67">
        <w:rPr>
          <w:rFonts w:ascii="Times New Roman" w:hAnsi="Times New Roman"/>
        </w:rPr>
        <w:t>ность реализации для конкретной организации, рынка, ре</w:t>
      </w:r>
      <w:r w:rsidRPr="008D5D67">
        <w:rPr>
          <w:rFonts w:ascii="Times New Roman" w:hAnsi="Times New Roman"/>
        </w:rPr>
        <w:softHyphen/>
        <w:t xml:space="preserve">гиона. Далее нужно указать имеющий наибольшую вероятность среди оставшихся и так до тех пор, пока не будут </w:t>
      </w:r>
      <w:proofErr w:type="spellStart"/>
      <w:r w:rsidRPr="008D5D67">
        <w:rPr>
          <w:rFonts w:ascii="Times New Roman" w:hAnsi="Times New Roman"/>
        </w:rPr>
        <w:t>проранжированы</w:t>
      </w:r>
      <w:proofErr w:type="spellEnd"/>
      <w:r w:rsidRPr="008D5D67">
        <w:rPr>
          <w:rFonts w:ascii="Times New Roman" w:hAnsi="Times New Roman"/>
        </w:rPr>
        <w:t xml:space="preserve"> все предложенные факторы риска.</w:t>
      </w:r>
    </w:p>
    <w:p w14:paraId="28B91EC4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2. Эксперту первоначально предъявляется 2 или б</w:t>
      </w:r>
      <w:r w:rsidRPr="008D5D67">
        <w:rPr>
          <w:rFonts w:ascii="Times New Roman" w:hAnsi="Times New Roman"/>
        </w:rPr>
        <w:t>ольше факторов риска, которые предлагается упорядочить, например, по вероятности их наступления для организации. Далее предлагаются еще неоценен</w:t>
      </w:r>
      <w:r w:rsidRPr="008D5D67">
        <w:rPr>
          <w:rFonts w:ascii="Times New Roman" w:hAnsi="Times New Roman"/>
        </w:rPr>
        <w:softHyphen/>
        <w:t xml:space="preserve">ные факторы риска. Эксперт определяет место вновь предъявленного фактора риска среди </w:t>
      </w:r>
      <w:proofErr w:type="spellStart"/>
      <w:r w:rsidRPr="008D5D67">
        <w:rPr>
          <w:rFonts w:ascii="Times New Roman" w:hAnsi="Times New Roman"/>
        </w:rPr>
        <w:t>проранжированных</w:t>
      </w:r>
      <w:proofErr w:type="spellEnd"/>
      <w:r w:rsidRPr="008D5D67">
        <w:rPr>
          <w:rFonts w:ascii="Times New Roman" w:hAnsi="Times New Roman"/>
        </w:rPr>
        <w:t xml:space="preserve"> ранее. Пр</w:t>
      </w:r>
      <w:r w:rsidRPr="008D5D67">
        <w:rPr>
          <w:rFonts w:ascii="Times New Roman" w:hAnsi="Times New Roman"/>
        </w:rPr>
        <w:t>оцедура заверша</w:t>
      </w:r>
      <w:r w:rsidRPr="008D5D67">
        <w:rPr>
          <w:rFonts w:ascii="Times New Roman" w:hAnsi="Times New Roman"/>
        </w:rPr>
        <w:softHyphen/>
        <w:t>ется после предъявления и оценки последнего в перечне фактора риска.</w:t>
      </w:r>
    </w:p>
    <w:p w14:paraId="60DE1DD7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Метод парных сравнений — способ оценки, основанный на указа</w:t>
      </w:r>
      <w:r w:rsidRPr="008D5D67">
        <w:rPr>
          <w:rFonts w:ascii="Times New Roman" w:hAnsi="Times New Roman"/>
        </w:rPr>
        <w:softHyphen/>
        <w:t>нии, например, самого вероятного риска в каждой парс рисков. В ус</w:t>
      </w:r>
      <w:r w:rsidRPr="008D5D67">
        <w:rPr>
          <w:rFonts w:ascii="Times New Roman" w:hAnsi="Times New Roman"/>
        </w:rPr>
        <w:softHyphen/>
        <w:t>ложненном варианте этого метода эксперту пред</w:t>
      </w:r>
      <w:r w:rsidRPr="008D5D67">
        <w:rPr>
          <w:rFonts w:ascii="Times New Roman" w:hAnsi="Times New Roman"/>
        </w:rPr>
        <w:t>лагается баллами оценить интенсивность своего предпочтения для каждой пары рис</w:t>
      </w:r>
      <w:r w:rsidRPr="008D5D67">
        <w:rPr>
          <w:rFonts w:ascii="Times New Roman" w:hAnsi="Times New Roman"/>
        </w:rPr>
        <w:softHyphen/>
        <w:t>ков организации.</w:t>
      </w:r>
    </w:p>
    <w:p w14:paraId="442BBCBD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После последовательного предъявления эксперту всех пар рисков определяется, какой риск, например, более вероятен для сложив</w:t>
      </w:r>
      <w:r w:rsidRPr="008D5D67">
        <w:rPr>
          <w:rFonts w:ascii="Times New Roman" w:hAnsi="Times New Roman"/>
        </w:rPr>
        <w:softHyphen/>
        <w:t>шейся в организации и ее внешней сре</w:t>
      </w:r>
      <w:r w:rsidRPr="008D5D67">
        <w:rPr>
          <w:rFonts w:ascii="Times New Roman" w:hAnsi="Times New Roman"/>
        </w:rPr>
        <w:t>де ситуации по оценкам дан</w:t>
      </w:r>
      <w:r w:rsidRPr="008D5D67">
        <w:rPr>
          <w:rFonts w:ascii="Times New Roman" w:hAnsi="Times New Roman"/>
        </w:rPr>
        <w:softHyphen/>
        <w:t>ного эксперта. В результате парных сравнений, если эксперт ока</w:t>
      </w:r>
      <w:r w:rsidRPr="008D5D67">
        <w:rPr>
          <w:rFonts w:ascii="Times New Roman" w:hAnsi="Times New Roman"/>
        </w:rPr>
        <w:softHyphen/>
        <w:t xml:space="preserve">зался последовательным в своих оценках, все оцениваемые типы рисков могут быть </w:t>
      </w:r>
      <w:proofErr w:type="spellStart"/>
      <w:r w:rsidRPr="008D5D67">
        <w:rPr>
          <w:rFonts w:ascii="Times New Roman" w:hAnsi="Times New Roman"/>
        </w:rPr>
        <w:t>проранжированы</w:t>
      </w:r>
      <w:proofErr w:type="spellEnd"/>
      <w:r w:rsidRPr="008D5D67">
        <w:rPr>
          <w:rFonts w:ascii="Times New Roman" w:hAnsi="Times New Roman"/>
        </w:rPr>
        <w:t xml:space="preserve"> по тому или иному критерию (вероятности, уровню ущерба).</w:t>
      </w:r>
    </w:p>
    <w:p w14:paraId="5CF46D42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Метод балльной </w:t>
      </w:r>
      <w:r w:rsidRPr="008D5D67">
        <w:rPr>
          <w:rFonts w:ascii="Times New Roman" w:hAnsi="Times New Roman"/>
        </w:rPr>
        <w:t>оценки риска — метод, основанный на использо</w:t>
      </w:r>
      <w:r w:rsidRPr="008D5D67">
        <w:rPr>
          <w:rFonts w:ascii="Times New Roman" w:hAnsi="Times New Roman"/>
        </w:rPr>
        <w:softHyphen/>
        <w:t xml:space="preserve">вании обобщающего показателя, определяемого по ряду </w:t>
      </w:r>
      <w:proofErr w:type="spellStart"/>
      <w:r w:rsidRPr="008D5D67">
        <w:rPr>
          <w:rFonts w:ascii="Times New Roman" w:hAnsi="Times New Roman"/>
        </w:rPr>
        <w:t>экспертно</w:t>
      </w:r>
      <w:proofErr w:type="spellEnd"/>
      <w:r w:rsidRPr="008D5D67">
        <w:rPr>
          <w:rFonts w:ascii="Times New Roman" w:hAnsi="Times New Roman"/>
        </w:rPr>
        <w:t xml:space="preserve"> оцениваемых значений показателей (факторам) степени риска.</w:t>
      </w:r>
    </w:p>
    <w:p w14:paraId="28106B93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Алгоритм применения метода балльной оценки:</w:t>
      </w:r>
    </w:p>
    <w:p w14:paraId="18FB9DC7" w14:textId="77777777" w:rsidR="006039BB" w:rsidRPr="008D5D67" w:rsidRDefault="00C838AC" w:rsidP="008D5D67">
      <w:pPr>
        <w:tabs>
          <w:tab w:val="left" w:pos="876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1)</w:t>
      </w:r>
      <w:r w:rsidRPr="008D5D67">
        <w:rPr>
          <w:rFonts w:ascii="Times New Roman" w:hAnsi="Times New Roman"/>
        </w:rPr>
        <w:tab/>
        <w:t>формирование полного перечня факторов риска</w:t>
      </w:r>
      <w:r w:rsidRPr="008D5D67">
        <w:rPr>
          <w:rFonts w:ascii="Times New Roman" w:hAnsi="Times New Roman"/>
        </w:rPr>
        <w:t xml:space="preserve"> для кон</w:t>
      </w:r>
      <w:r w:rsidRPr="008D5D67">
        <w:rPr>
          <w:rFonts w:ascii="Times New Roman" w:hAnsi="Times New Roman"/>
        </w:rPr>
        <w:softHyphen/>
        <w:t>кретной организации;</w:t>
      </w:r>
    </w:p>
    <w:p w14:paraId="07E097B0" w14:textId="77777777" w:rsidR="006039BB" w:rsidRPr="008D5D67" w:rsidRDefault="00C838AC" w:rsidP="008D5D67">
      <w:pPr>
        <w:tabs>
          <w:tab w:val="left" w:pos="876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2)</w:t>
      </w:r>
      <w:r w:rsidRPr="008D5D67">
        <w:rPr>
          <w:rFonts w:ascii="Times New Roman" w:hAnsi="Times New Roman"/>
        </w:rPr>
        <w:tab/>
        <w:t>определение совокупности показателей, характеризующих влияние фактора и риск;</w:t>
      </w:r>
    </w:p>
    <w:p w14:paraId="4E27FDD9" w14:textId="77777777" w:rsidR="006039BB" w:rsidRPr="008D5D67" w:rsidRDefault="00C838AC" w:rsidP="008D5D67">
      <w:pPr>
        <w:tabs>
          <w:tab w:val="left" w:pos="876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3)</w:t>
      </w:r>
      <w:r w:rsidRPr="008D5D67">
        <w:rPr>
          <w:rFonts w:ascii="Times New Roman" w:hAnsi="Times New Roman"/>
        </w:rPr>
        <w:tab/>
        <w:t>оценка влияния каждого показателя по факторам и факторов на обобщающую оценку степени риска (в виде весовых коэффици</w:t>
      </w:r>
      <w:r w:rsidRPr="008D5D67">
        <w:rPr>
          <w:rFonts w:ascii="Times New Roman" w:hAnsi="Times New Roman"/>
        </w:rPr>
        <w:softHyphen/>
        <w:t xml:space="preserve">ентов оценки </w:t>
      </w:r>
      <w:r w:rsidRPr="008D5D67">
        <w:rPr>
          <w:rFonts w:ascii="Times New Roman" w:hAnsi="Times New Roman"/>
        </w:rPr>
        <w:t>значимости показателей);</w:t>
      </w:r>
    </w:p>
    <w:p w14:paraId="6F424F89" w14:textId="77777777" w:rsidR="006039BB" w:rsidRPr="008D5D67" w:rsidRDefault="00C838AC" w:rsidP="008D5D67">
      <w:pPr>
        <w:tabs>
          <w:tab w:val="left" w:pos="876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4)</w:t>
      </w:r>
      <w:r w:rsidRPr="008D5D67">
        <w:rPr>
          <w:rFonts w:ascii="Times New Roman" w:hAnsi="Times New Roman"/>
        </w:rPr>
        <w:tab/>
        <w:t>построение шкалы оценок по каждому показателю (в т.ч. по</w:t>
      </w:r>
      <w:r w:rsidRPr="008D5D67">
        <w:rPr>
          <w:rFonts w:ascii="Times New Roman" w:hAnsi="Times New Roman"/>
        </w:rPr>
        <w:softHyphen/>
        <w:t>рядок присвоения качественных оценок);</w:t>
      </w:r>
    </w:p>
    <w:p w14:paraId="5DF23593" w14:textId="77777777" w:rsidR="006039BB" w:rsidRPr="008D5D67" w:rsidRDefault="00C838AC" w:rsidP="008D5D67">
      <w:pPr>
        <w:tabs>
          <w:tab w:val="left" w:pos="876"/>
        </w:tabs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5)</w:t>
      </w:r>
      <w:r w:rsidRPr="008D5D67">
        <w:rPr>
          <w:rFonts w:ascii="Times New Roman" w:hAnsi="Times New Roman"/>
        </w:rPr>
        <w:tab/>
        <w:t>разработка методики расчета обобщающей оценки риска, на</w:t>
      </w:r>
      <w:r w:rsidRPr="008D5D67">
        <w:rPr>
          <w:rFonts w:ascii="Times New Roman" w:hAnsi="Times New Roman"/>
        </w:rPr>
        <w:softHyphen/>
        <w:t>пример, использование интегральной оценки.</w:t>
      </w:r>
    </w:p>
    <w:p w14:paraId="2FFE3D84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 xml:space="preserve">Расчетно-аналитические методы </w:t>
      </w:r>
      <w:r w:rsidRPr="008D5D67">
        <w:rPr>
          <w:rFonts w:ascii="Times New Roman" w:hAnsi="Times New Roman"/>
        </w:rPr>
        <w:t>оценки — количественная оценка вероятности возникновения рисков на основе использования ин</w:t>
      </w:r>
      <w:r w:rsidRPr="008D5D67">
        <w:rPr>
          <w:rFonts w:ascii="Times New Roman" w:hAnsi="Times New Roman"/>
        </w:rPr>
        <w:softHyphen/>
        <w:t>формационной базы организации (вероятность возникновения от</w:t>
      </w:r>
      <w:r w:rsidRPr="008D5D67">
        <w:rPr>
          <w:rFonts w:ascii="Times New Roman" w:hAnsi="Times New Roman"/>
        </w:rPr>
        <w:softHyphen/>
        <w:t>дельных рисков устанавливается в зависимости от плановых показа</w:t>
      </w:r>
      <w:r w:rsidRPr="008D5D67">
        <w:rPr>
          <w:rFonts w:ascii="Times New Roman" w:hAnsi="Times New Roman"/>
        </w:rPr>
        <w:softHyphen/>
        <w:t>телей деятельности организации).</w:t>
      </w:r>
    </w:p>
    <w:p w14:paraId="478AC71F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Аналогов</w:t>
      </w:r>
      <w:r w:rsidRPr="008D5D67">
        <w:rPr>
          <w:rFonts w:ascii="Times New Roman" w:hAnsi="Times New Roman"/>
        </w:rPr>
        <w:t>ые методы оценки — определение уровня вероятности возникновения рисков по отдельным, наиболее часто повторяю</w:t>
      </w:r>
      <w:r w:rsidRPr="008D5D67">
        <w:rPr>
          <w:rFonts w:ascii="Times New Roman" w:hAnsi="Times New Roman"/>
        </w:rPr>
        <w:softHyphen/>
        <w:t>щимся операциям организации. При этом для сравнения может быть использован как опыт самой организации, так и практика аналогич</w:t>
      </w:r>
      <w:r w:rsidRPr="008D5D67">
        <w:rPr>
          <w:rFonts w:ascii="Times New Roman" w:hAnsi="Times New Roman"/>
        </w:rPr>
        <w:softHyphen/>
        <w:t>ных организаций.</w:t>
      </w:r>
    </w:p>
    <w:p w14:paraId="3205C5C2" w14:textId="77777777" w:rsidR="006039BB" w:rsidRPr="008D5D67" w:rsidRDefault="00C838AC" w:rsidP="008D5D67">
      <w:pPr>
        <w:ind w:firstLine="709"/>
        <w:jc w:val="both"/>
        <w:rPr>
          <w:rFonts w:ascii="Times New Roman" w:hAnsi="Times New Roman"/>
        </w:rPr>
      </w:pPr>
      <w:r w:rsidRPr="008D5D67">
        <w:rPr>
          <w:rFonts w:ascii="Times New Roman" w:hAnsi="Times New Roman"/>
        </w:rPr>
        <w:t>Ком</w:t>
      </w:r>
      <w:r w:rsidRPr="008D5D67">
        <w:rPr>
          <w:rFonts w:ascii="Times New Roman" w:hAnsi="Times New Roman"/>
        </w:rPr>
        <w:t>бинированный метод — объединение нескольких отдельных методов или их отдельных элементов, например, оценка предприни</w:t>
      </w:r>
      <w:r w:rsidRPr="008D5D67">
        <w:rPr>
          <w:rFonts w:ascii="Times New Roman" w:hAnsi="Times New Roman"/>
        </w:rPr>
        <w:softHyphen/>
        <w:t xml:space="preserve">мательского риска на основе расчета </w:t>
      </w:r>
      <w:r w:rsidRPr="008D5D67">
        <w:rPr>
          <w:rFonts w:ascii="Times New Roman" w:hAnsi="Times New Roman"/>
        </w:rPr>
        <w:lastRenderedPageBreak/>
        <w:t>вероятности нежелательного исхода сделки с использованием элементов статистического, экс</w:t>
      </w:r>
      <w:r w:rsidRPr="008D5D67">
        <w:rPr>
          <w:rFonts w:ascii="Times New Roman" w:hAnsi="Times New Roman"/>
        </w:rPr>
        <w:softHyphen/>
        <w:t>пертного метод</w:t>
      </w:r>
      <w:r w:rsidRPr="008D5D67">
        <w:rPr>
          <w:rFonts w:ascii="Times New Roman" w:hAnsi="Times New Roman"/>
        </w:rPr>
        <w:t>ов, а также метода аналога.</w:t>
      </w:r>
    </w:p>
    <w:sectPr w:rsidR="006039BB" w:rsidRPr="008D5D67" w:rsidSect="008D5D67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C291" w14:textId="77777777" w:rsidR="00C838AC" w:rsidRDefault="00C838AC">
      <w:r>
        <w:separator/>
      </w:r>
    </w:p>
  </w:endnote>
  <w:endnote w:type="continuationSeparator" w:id="0">
    <w:p w14:paraId="7F1FCA94" w14:textId="77777777" w:rsidR="00C838AC" w:rsidRDefault="00C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BE20" w14:textId="77777777" w:rsidR="00C838AC" w:rsidRDefault="00C838AC"/>
  </w:footnote>
  <w:footnote w:type="continuationSeparator" w:id="0">
    <w:p w14:paraId="7ACACF53" w14:textId="77777777" w:rsidR="00C838AC" w:rsidRDefault="00C838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BB"/>
    <w:rsid w:val="001C6092"/>
    <w:rsid w:val="006039BB"/>
    <w:rsid w:val="008D5D67"/>
    <w:rsid w:val="00C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15DC"/>
  <w15:docId w15:val="{D574D415-57A5-4D85-B299-C7A3DD6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2024-04-06T02:49:00Z</dcterms:created>
  <dcterms:modified xsi:type="dcterms:W3CDTF">2024-04-06T03:01:00Z</dcterms:modified>
</cp:coreProperties>
</file>